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98"/>
        <w:gridCol w:w="10350"/>
        <w:gridCol w:w="818"/>
        <w:gridCol w:w="46"/>
      </w:tblGrid>
      <w:tr w:rsidR="00EF60B4" w:rsidTr="00CB75A2">
        <w:tc>
          <w:tcPr>
            <w:tcW w:w="12312" w:type="dxa"/>
            <w:gridSpan w:val="4"/>
            <w:shd w:val="clear" w:color="auto" w:fill="5E9CAE"/>
          </w:tcPr>
          <w:p w:rsidR="002F22F3" w:rsidRPr="002F22F3" w:rsidRDefault="002F22F3" w:rsidP="00C3372C">
            <w:pPr>
              <w:tabs>
                <w:tab w:val="center" w:pos="6048"/>
              </w:tabs>
              <w:rPr>
                <w:b/>
                <w:i/>
              </w:rPr>
            </w:pPr>
            <w:bookmarkStart w:id="0" w:name="_GoBack"/>
            <w:bookmarkEnd w:id="0"/>
          </w:p>
          <w:sdt>
            <w:sdtPr>
              <w:rPr>
                <w:rFonts w:ascii="Myriad Pro" w:hAnsi="Myriad Pro" w:cs="Times New Roman"/>
                <w:b/>
                <w:i/>
                <w:sz w:val="20"/>
                <w:szCs w:val="20"/>
              </w:rPr>
              <w:id w:val="26093138"/>
              <w:placeholder>
                <w:docPart w:val="DefaultPlaceholder_22675703"/>
              </w:placeholder>
            </w:sdtPr>
            <w:sdtEndPr/>
            <w:sdtContent>
              <w:p w:rsidR="00EF60B4" w:rsidRPr="002F22F3" w:rsidRDefault="00F511E1" w:rsidP="002818A2">
                <w:pPr>
                  <w:tabs>
                    <w:tab w:val="center" w:pos="6048"/>
                  </w:tabs>
                  <w:ind w:left="630" w:right="486"/>
                  <w:rPr>
                    <w:rFonts w:ascii="Myriad Pro" w:hAnsi="Myriad Pro" w:cs="Times New Roman"/>
                    <w:b/>
                    <w:i/>
                    <w:sz w:val="20"/>
                    <w:szCs w:val="20"/>
                  </w:rPr>
                </w:pPr>
                <w:r>
                  <w:rPr>
                    <w:rFonts w:ascii="Myriad Pro" w:hAnsi="Myriad Pro" w:cs="Times New Roman"/>
                    <w:b/>
                    <w:i/>
                    <w:sz w:val="20"/>
                    <w:szCs w:val="20"/>
                  </w:rPr>
                  <w:t xml:space="preserve">NAQC developed this fact sheet for states who are working with employers on cessation coverage. </w:t>
                </w:r>
                <w:r w:rsidR="002F22F3" w:rsidRPr="002F22F3">
                  <w:rPr>
                    <w:rFonts w:ascii="Myriad Pro" w:hAnsi="Myriad Pro" w:cs="Times New Roman"/>
                    <w:b/>
                    <w:i/>
                    <w:sz w:val="20"/>
                    <w:szCs w:val="20"/>
                  </w:rPr>
                  <w:t xml:space="preserve">The information in this fact sheet helps make the case to employers about covering the costs of tobacco cessation treatment. The fact sheet introduces important facts and references about the financial impact of smoking and cessation </w:t>
                </w:r>
                <w:r w:rsidR="007D57D0">
                  <w:rPr>
                    <w:rFonts w:ascii="Myriad Pro" w:hAnsi="Myriad Pro" w:cs="Times New Roman"/>
                    <w:b/>
                    <w:i/>
                    <w:sz w:val="20"/>
                    <w:szCs w:val="20"/>
                  </w:rPr>
                  <w:t>on employers. The fact sheet may</w:t>
                </w:r>
                <w:r w:rsidR="002F22F3" w:rsidRPr="002F22F3">
                  <w:rPr>
                    <w:rFonts w:ascii="Myriad Pro" w:hAnsi="Myriad Pro" w:cs="Times New Roman"/>
                    <w:b/>
                    <w:i/>
                    <w:sz w:val="20"/>
                    <w:szCs w:val="20"/>
                  </w:rPr>
                  <w:t xml:space="preserve"> be tailored to include a state’s logo and contact informati</w:t>
                </w:r>
                <w:r w:rsidR="007D57D0">
                  <w:rPr>
                    <w:rFonts w:ascii="Myriad Pro" w:hAnsi="Myriad Pro" w:cs="Times New Roman"/>
                    <w:b/>
                    <w:i/>
                    <w:sz w:val="20"/>
                    <w:szCs w:val="20"/>
                  </w:rPr>
                  <w:t>on.  The fact sheet content may</w:t>
                </w:r>
                <w:r w:rsidR="002F22F3" w:rsidRPr="002F22F3">
                  <w:rPr>
                    <w:rFonts w:ascii="Myriad Pro" w:hAnsi="Myriad Pro" w:cs="Times New Roman"/>
                    <w:b/>
                    <w:i/>
                    <w:sz w:val="20"/>
                    <w:szCs w:val="20"/>
                  </w:rPr>
                  <w:t xml:space="preserve"> be tailored and paired wi</w:t>
                </w:r>
                <w:r w:rsidR="007D57D0">
                  <w:rPr>
                    <w:rFonts w:ascii="Myriad Pro" w:hAnsi="Myriad Pro" w:cs="Times New Roman"/>
                    <w:b/>
                    <w:i/>
                    <w:sz w:val="20"/>
                    <w:szCs w:val="20"/>
                  </w:rPr>
                  <w:t>th fact-sheet templates that may also</w:t>
                </w:r>
                <w:r w:rsidR="002F22F3" w:rsidRPr="002F22F3">
                  <w:rPr>
                    <w:rFonts w:ascii="Myriad Pro" w:hAnsi="Myriad Pro" w:cs="Times New Roman"/>
                    <w:b/>
                    <w:i/>
                    <w:sz w:val="20"/>
                    <w:szCs w:val="20"/>
                  </w:rPr>
                  <w:t xml:space="preserve"> be edited to include information specific to your state and employers.</w:t>
                </w:r>
                <w:r w:rsidR="00CC3579">
                  <w:rPr>
                    <w:rFonts w:ascii="Myriad Pro" w:hAnsi="Myriad Pro" w:cs="Times New Roman"/>
                    <w:b/>
                    <w:i/>
                    <w:sz w:val="20"/>
                    <w:szCs w:val="20"/>
                  </w:rPr>
                  <w:t xml:space="preserve"> Please click </w:t>
                </w:r>
                <w:hyperlink r:id="rId9" w:history="1">
                  <w:r w:rsidR="00CC3579">
                    <w:rPr>
                      <w:rStyle w:val="Hyperlink"/>
                      <w:rFonts w:ascii="Myriad Pro" w:hAnsi="Myriad Pro" w:cs="Times New Roman"/>
                      <w:b/>
                      <w:i/>
                      <w:sz w:val="20"/>
                      <w:szCs w:val="20"/>
                    </w:rPr>
                    <w:t>here</w:t>
                  </w:r>
                </w:hyperlink>
                <w:r w:rsidR="00CC3579">
                  <w:rPr>
                    <w:rFonts w:ascii="Myriad Pro" w:hAnsi="Myriad Pro" w:cs="Times New Roman"/>
                    <w:b/>
                    <w:i/>
                    <w:sz w:val="20"/>
                    <w:szCs w:val="20"/>
                  </w:rPr>
                  <w:t xml:space="preserve"> to access additional resources.</w:t>
                </w:r>
              </w:p>
            </w:sdtContent>
          </w:sdt>
          <w:p w:rsidR="002F22F3" w:rsidRDefault="002F22F3" w:rsidP="00C3372C">
            <w:pPr>
              <w:tabs>
                <w:tab w:val="center" w:pos="6048"/>
              </w:tabs>
            </w:pPr>
          </w:p>
        </w:tc>
      </w:tr>
      <w:tr w:rsidR="00DA1507" w:rsidTr="00CB75A2">
        <w:trPr>
          <w:gridAfter w:val="1"/>
          <w:wAfter w:w="46" w:type="dxa"/>
          <w:trHeight w:val="144"/>
        </w:trPr>
        <w:tc>
          <w:tcPr>
            <w:tcW w:w="1098" w:type="dxa"/>
            <w:shd w:val="clear" w:color="auto" w:fill="FFFFFF" w:themeFill="background1"/>
          </w:tcPr>
          <w:p w:rsidR="00DA1507" w:rsidRDefault="00DA1507" w:rsidP="00EF60B4"/>
        </w:tc>
        <w:tc>
          <w:tcPr>
            <w:tcW w:w="10350" w:type="dxa"/>
            <w:shd w:val="clear" w:color="auto" w:fill="FFFFFF" w:themeFill="background1"/>
          </w:tcPr>
          <w:p w:rsidR="00DA1507" w:rsidRPr="00EF60B4" w:rsidRDefault="00DA1507" w:rsidP="00EF60B4">
            <w:pPr>
              <w:rPr>
                <w:rFonts w:ascii="Myriad Pro" w:hAnsi="Myriad Pro"/>
                <w:b/>
                <w:color w:val="AAAAAA"/>
                <w:sz w:val="24"/>
                <w:szCs w:val="24"/>
              </w:rPr>
            </w:pPr>
          </w:p>
        </w:tc>
        <w:tc>
          <w:tcPr>
            <w:tcW w:w="818" w:type="dxa"/>
            <w:shd w:val="clear" w:color="auto" w:fill="FFFFFF" w:themeFill="background1"/>
          </w:tcPr>
          <w:p w:rsidR="00DA1507" w:rsidRDefault="00DA1507" w:rsidP="00EF60B4"/>
        </w:tc>
      </w:tr>
      <w:tr w:rsidR="00EF60B4" w:rsidRPr="00073B89" w:rsidTr="00CB75A2">
        <w:trPr>
          <w:gridAfter w:val="1"/>
          <w:wAfter w:w="46" w:type="dxa"/>
          <w:trHeight w:val="345"/>
        </w:trPr>
        <w:tc>
          <w:tcPr>
            <w:tcW w:w="1098" w:type="dxa"/>
            <w:shd w:val="clear" w:color="auto" w:fill="5E9CAE"/>
          </w:tcPr>
          <w:p w:rsidR="00EF60B4" w:rsidRPr="00073B89" w:rsidRDefault="00EF60B4" w:rsidP="00EF60B4"/>
        </w:tc>
        <w:tc>
          <w:tcPr>
            <w:tcW w:w="10350" w:type="dxa"/>
            <w:shd w:val="clear" w:color="auto" w:fill="5E9CAE"/>
          </w:tcPr>
          <w:p w:rsidR="00EF60B4" w:rsidRPr="005043E9" w:rsidRDefault="005043E9" w:rsidP="005043E9">
            <w:pPr>
              <w:autoSpaceDE w:val="0"/>
              <w:autoSpaceDN w:val="0"/>
              <w:adjustRightInd w:val="0"/>
              <w:jc w:val="center"/>
              <w:rPr>
                <w:rFonts w:ascii="Myriad Pro" w:hAnsi="Myriad Pro"/>
                <w:b/>
                <w:i/>
                <w:color w:val="FFFFFF" w:themeColor="background1"/>
                <w:sz w:val="20"/>
                <w:szCs w:val="20"/>
              </w:rPr>
            </w:pPr>
            <w:r w:rsidRPr="005043E9">
              <w:rPr>
                <w:rFonts w:ascii="Myriad Pro" w:hAnsi="Myriad Pro" w:cs="Times New Roman"/>
                <w:b/>
                <w:i/>
                <w:color w:val="FFFFFF" w:themeColor="background1"/>
                <w:sz w:val="26"/>
                <w:szCs w:val="26"/>
              </w:rPr>
              <w:t>Tobacco Cessation Treatment – Saving Money and Improving Employee Health</w:t>
            </w:r>
          </w:p>
        </w:tc>
        <w:tc>
          <w:tcPr>
            <w:tcW w:w="818" w:type="dxa"/>
            <w:shd w:val="clear" w:color="auto" w:fill="5E9CAE"/>
          </w:tcPr>
          <w:p w:rsidR="00EF60B4" w:rsidRPr="00073B89" w:rsidRDefault="00EF60B4" w:rsidP="00EF60B4"/>
        </w:tc>
      </w:tr>
    </w:tbl>
    <w:p w:rsidR="003872D0" w:rsidRDefault="003872D0" w:rsidP="005043E9">
      <w:pPr>
        <w:rPr>
          <w:rFonts w:ascii="Myriad Pro" w:hAnsi="Myriad Pro"/>
          <w:b/>
          <w:color w:val="3BB0BF"/>
          <w:sz w:val="26"/>
          <w:szCs w:val="26"/>
        </w:rPr>
        <w:sectPr w:rsidR="003872D0" w:rsidSect="002F22F3">
          <w:footerReference w:type="default" r:id="rId10"/>
          <w:footerReference w:type="first" r:id="rId11"/>
          <w:pgSz w:w="12240" w:h="15840" w:code="1"/>
          <w:pgMar w:top="72" w:right="72" w:bottom="72" w:left="72" w:header="72" w:footer="7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2266"/>
      </w:tblGrid>
      <w:tr w:rsidR="00495755" w:rsidTr="00B63A73">
        <w:trPr>
          <w:trHeight w:val="345"/>
        </w:trPr>
        <w:tc>
          <w:tcPr>
            <w:tcW w:w="12266" w:type="dxa"/>
            <w:shd w:val="clear" w:color="auto" w:fill="FFFFFF" w:themeFill="background1"/>
          </w:tcPr>
          <w:p w:rsidR="002F22F3" w:rsidRDefault="002F22F3" w:rsidP="002F22F3">
            <w:pPr>
              <w:ind w:left="720" w:right="530" w:hanging="720"/>
              <w:rPr>
                <w:rFonts w:ascii="Myriad Pro" w:hAnsi="Myriad Pro" w:cs="Times New Roman"/>
                <w:sz w:val="20"/>
                <w:szCs w:val="20"/>
              </w:rPr>
            </w:pPr>
            <w:r>
              <w:rPr>
                <w:rFonts w:ascii="Myriad Pro" w:hAnsi="Myriad Pro" w:cs="Times New Roman"/>
                <w:sz w:val="20"/>
                <w:szCs w:val="20"/>
              </w:rPr>
              <w:lastRenderedPageBreak/>
              <w:t xml:space="preserve">                 </w:t>
            </w:r>
            <w:r>
              <w:rPr>
                <w:rFonts w:ascii="Myriad Pro" w:hAnsi="Myriad Pro" w:cs="Times New Roman"/>
                <w:sz w:val="20"/>
                <w:szCs w:val="20"/>
              </w:rPr>
              <w:br/>
              <w:t xml:space="preserve">Tobacco cessation saves lives, improves health and reduces health care costs.  Employees who smoke have higher absenteeism rates, lower productivity and higher health care use.  The good news: within one year of quitting, a former smoker’s overall health improves, productivity increases and a trend towards lower health care costs begins. </w:t>
            </w:r>
            <w:r>
              <w:rPr>
                <w:rFonts w:ascii="Myriad Pro" w:hAnsi="Myriad Pro" w:cs="Times New Roman"/>
                <w:sz w:val="20"/>
                <w:szCs w:val="20"/>
              </w:rPr>
              <w:br/>
            </w:r>
          </w:p>
          <w:p w:rsidR="002F22F3" w:rsidRDefault="002F22F3" w:rsidP="002F22F3">
            <w:pPr>
              <w:ind w:left="720" w:right="530"/>
              <w:rPr>
                <w:rFonts w:ascii="Myriad Pro" w:hAnsi="Myriad Pro" w:cs="Times New Roman"/>
                <w:sz w:val="20"/>
                <w:szCs w:val="20"/>
              </w:rPr>
            </w:pPr>
            <w:r>
              <w:rPr>
                <w:rFonts w:ascii="Myriad Pro" w:hAnsi="Myriad Pro" w:cs="Times New Roman"/>
                <w:sz w:val="20"/>
                <w:szCs w:val="20"/>
              </w:rPr>
              <w:t>Tobacco cessation treatment is one of the most “cost-saving” benefits an employer can provide to its employees.</w:t>
            </w:r>
            <w:r>
              <w:rPr>
                <w:rStyle w:val="EndnoteReference"/>
                <w:rFonts w:ascii="Myriad Pro" w:hAnsi="Myriad Pro" w:cs="Times New Roman"/>
                <w:sz w:val="20"/>
                <w:szCs w:val="20"/>
              </w:rPr>
              <w:endnoteReference w:id="1"/>
            </w:r>
            <w:r>
              <w:rPr>
                <w:rFonts w:ascii="Myriad Pro" w:hAnsi="Myriad Pro" w:cs="Times New Roman"/>
                <w:sz w:val="20"/>
                <w:szCs w:val="20"/>
                <w:vertAlign w:val="superscript"/>
              </w:rPr>
              <w:t xml:space="preserve">, </w:t>
            </w:r>
            <w:r>
              <w:rPr>
                <w:rStyle w:val="EndnoteReference"/>
                <w:rFonts w:ascii="Myriad Pro" w:hAnsi="Myriad Pro" w:cs="Times New Roman"/>
                <w:sz w:val="20"/>
                <w:szCs w:val="20"/>
              </w:rPr>
              <w:endnoteReference w:id="2"/>
            </w:r>
            <w:r>
              <w:rPr>
                <w:rFonts w:ascii="Myriad Pro" w:hAnsi="Myriad Pro" w:cs="Times New Roman"/>
                <w:sz w:val="20"/>
                <w:szCs w:val="20"/>
              </w:rPr>
              <w:t xml:space="preserve"> In other words, tobacco cessation treatment returns more in health care and other savings over time than the cost of delivering it. </w:t>
            </w:r>
          </w:p>
          <w:p w:rsidR="002F22F3" w:rsidRDefault="002F22F3" w:rsidP="002F22F3">
            <w:pPr>
              <w:ind w:left="720" w:right="530"/>
              <w:rPr>
                <w:rFonts w:ascii="Myriad Pro" w:hAnsi="Myriad Pro" w:cs="Times New Roman"/>
                <w:sz w:val="20"/>
                <w:szCs w:val="20"/>
              </w:rPr>
            </w:pPr>
            <w:r>
              <w:rPr>
                <w:rFonts w:ascii="Myriad Pro" w:hAnsi="Myriad Pro"/>
                <w:b/>
                <w:color w:val="3BB0BF"/>
                <w:sz w:val="26"/>
                <w:szCs w:val="26"/>
              </w:rPr>
              <w:br/>
            </w:r>
            <w:r>
              <w:rPr>
                <w:rFonts w:ascii="Myriad Pro" w:hAnsi="Myriad Pro"/>
                <w:b/>
                <w:color w:val="004250"/>
                <w:sz w:val="26"/>
                <w:szCs w:val="26"/>
              </w:rPr>
              <w:t>TOBACCO USE COSTS EMPLOYERS</w:t>
            </w:r>
            <w:r>
              <w:rPr>
                <w:rFonts w:ascii="Myriad Pro" w:hAnsi="Myriad Pro" w:cs="Myriad Pro"/>
                <w:sz w:val="20"/>
                <w:szCs w:val="20"/>
              </w:rPr>
              <w:br/>
            </w:r>
          </w:p>
          <w:p w:rsidR="002F22F3" w:rsidRDefault="002F22F3" w:rsidP="002F22F3">
            <w:pPr>
              <w:pStyle w:val="ListParagraph"/>
              <w:numPr>
                <w:ilvl w:val="3"/>
                <w:numId w:val="17"/>
              </w:numPr>
              <w:ind w:left="1440" w:right="530" w:hanging="450"/>
              <w:rPr>
                <w:rFonts w:ascii="Myriad Pro" w:hAnsi="Myriad Pro" w:cs="Times New Roman"/>
                <w:sz w:val="20"/>
                <w:szCs w:val="20"/>
              </w:rPr>
            </w:pPr>
            <w:r>
              <w:rPr>
                <w:rFonts w:ascii="Myriad Pro" w:hAnsi="Myriad Pro" w:cs="Times New Roman"/>
                <w:sz w:val="20"/>
                <w:szCs w:val="20"/>
              </w:rPr>
              <w:t>The CDC estimates that companies spend $3,856 per smoker per year in direct medical costs and lost productivity.</w:t>
            </w:r>
            <w:r>
              <w:rPr>
                <w:rStyle w:val="EndnoteReference"/>
                <w:rFonts w:ascii="Myriad Pro" w:hAnsi="Myriad Pro" w:cs="Times New Roman"/>
                <w:sz w:val="20"/>
                <w:szCs w:val="20"/>
              </w:rPr>
              <w:endnoteReference w:id="3"/>
            </w:r>
          </w:p>
          <w:p w:rsidR="002F22F3" w:rsidRDefault="002F22F3" w:rsidP="002F22F3">
            <w:pPr>
              <w:pStyle w:val="ListParagraph"/>
              <w:numPr>
                <w:ilvl w:val="0"/>
                <w:numId w:val="17"/>
              </w:numPr>
              <w:ind w:left="1440" w:right="530" w:hanging="450"/>
              <w:rPr>
                <w:rFonts w:ascii="Myriad Pro" w:hAnsi="Myriad Pro" w:cs="Times New Roman"/>
                <w:sz w:val="20"/>
                <w:szCs w:val="20"/>
              </w:rPr>
            </w:pPr>
            <w:r>
              <w:rPr>
                <w:rFonts w:ascii="Myriad Pro" w:hAnsi="Myriad Pro" w:cs="Times New Roman"/>
                <w:sz w:val="20"/>
                <w:szCs w:val="20"/>
              </w:rPr>
              <w:t>Smokers who successfully stop smoking reduce potential medical costs associated with cardiovascular disease alone by about $47 during the first year and by about $853 during the following 7 years.</w:t>
            </w:r>
            <w:r>
              <w:rPr>
                <w:rStyle w:val="EndnoteReference"/>
                <w:rFonts w:ascii="Myriad Pro" w:hAnsi="Myriad Pro" w:cs="Times New Roman"/>
                <w:sz w:val="20"/>
                <w:szCs w:val="20"/>
              </w:rPr>
              <w:endnoteReference w:id="4"/>
            </w:r>
            <w:r>
              <w:rPr>
                <w:rFonts w:ascii="Myriad Pro" w:hAnsi="Myriad Pro" w:cs="Times New Roman"/>
                <w:sz w:val="20"/>
                <w:szCs w:val="20"/>
                <w:vertAlign w:val="superscript"/>
              </w:rPr>
              <w:t xml:space="preserve"> </w:t>
            </w:r>
            <w:r>
              <w:rPr>
                <w:rFonts w:ascii="Myriad Pro" w:hAnsi="Myriad Pro" w:cs="Times New Roman"/>
                <w:sz w:val="20"/>
                <w:szCs w:val="20"/>
              </w:rPr>
              <w:t xml:space="preserve"> </w:t>
            </w:r>
          </w:p>
          <w:p w:rsidR="002F22F3" w:rsidRDefault="002F22F3" w:rsidP="002F22F3">
            <w:pPr>
              <w:pStyle w:val="ListParagraph"/>
              <w:numPr>
                <w:ilvl w:val="0"/>
                <w:numId w:val="17"/>
              </w:numPr>
              <w:ind w:left="1440" w:right="530" w:hanging="450"/>
              <w:rPr>
                <w:rFonts w:ascii="Myriad Pro" w:hAnsi="Myriad Pro" w:cs="Times New Roman"/>
                <w:sz w:val="20"/>
                <w:szCs w:val="20"/>
              </w:rPr>
            </w:pPr>
            <w:r>
              <w:rPr>
                <w:rFonts w:ascii="Myriad Pro" w:hAnsi="Myriad Pro" w:cs="Times New Roman"/>
                <w:sz w:val="20"/>
                <w:szCs w:val="20"/>
              </w:rPr>
              <w:t>On average, smokers miss 6.16 days of work per year due to illness (including acute and chronic conditions), compared to non-smokers who miss 3.86 days of work per year.</w:t>
            </w:r>
            <w:r>
              <w:rPr>
                <w:rStyle w:val="EndnoteReference"/>
                <w:rFonts w:ascii="Myriad Pro" w:hAnsi="Myriad Pro" w:cs="Times New Roman"/>
                <w:sz w:val="20"/>
                <w:szCs w:val="20"/>
              </w:rPr>
              <w:endnoteReference w:id="5"/>
            </w:r>
            <w:r>
              <w:rPr>
                <w:rFonts w:ascii="Myriad Pro" w:hAnsi="Myriad Pro" w:cs="Times New Roman"/>
                <w:sz w:val="20"/>
                <w:szCs w:val="20"/>
              </w:rPr>
              <w:t xml:space="preserve"> </w:t>
            </w:r>
          </w:p>
          <w:p w:rsidR="002F22F3" w:rsidRDefault="002F22F3" w:rsidP="002F22F3">
            <w:pPr>
              <w:pStyle w:val="ListParagraph"/>
              <w:numPr>
                <w:ilvl w:val="0"/>
                <w:numId w:val="17"/>
              </w:numPr>
              <w:ind w:left="1440" w:right="530" w:hanging="450"/>
              <w:rPr>
                <w:rFonts w:ascii="Myriad Pro" w:hAnsi="Myriad Pro" w:cs="Times New Roman"/>
                <w:sz w:val="20"/>
                <w:szCs w:val="20"/>
              </w:rPr>
            </w:pPr>
            <w:r>
              <w:rPr>
                <w:rFonts w:ascii="Myriad Pro" w:hAnsi="Myriad Pro" w:cs="Times New Roman"/>
                <w:sz w:val="20"/>
                <w:szCs w:val="20"/>
              </w:rPr>
              <w:t xml:space="preserve">Employees who take four 10-minute breaks a day actually work one month less per year than workers who do not take smoking breaks. </w:t>
            </w:r>
            <w:r>
              <w:rPr>
                <w:rStyle w:val="EndnoteReference"/>
                <w:rFonts w:ascii="Myriad Pro" w:hAnsi="Myriad Pro" w:cs="Times New Roman"/>
                <w:sz w:val="20"/>
                <w:szCs w:val="20"/>
              </w:rPr>
              <w:endnoteReference w:id="6"/>
            </w:r>
          </w:p>
          <w:p w:rsidR="002F22F3" w:rsidRDefault="002F22F3" w:rsidP="002F22F3">
            <w:pPr>
              <w:pStyle w:val="ListParagraph"/>
              <w:numPr>
                <w:ilvl w:val="0"/>
                <w:numId w:val="17"/>
              </w:numPr>
              <w:ind w:left="1440" w:right="530" w:hanging="450"/>
              <w:rPr>
                <w:rFonts w:ascii="Myriad Pro" w:hAnsi="Myriad Pro" w:cs="Times New Roman"/>
                <w:sz w:val="20"/>
                <w:szCs w:val="20"/>
              </w:rPr>
            </w:pPr>
            <w:r>
              <w:rPr>
                <w:rFonts w:ascii="Myriad Pro" w:hAnsi="Myriad Pro" w:cs="Times New Roman"/>
                <w:sz w:val="20"/>
                <w:szCs w:val="20"/>
              </w:rPr>
              <w:t>Businesses pay an average of $2,289 in workers’ compensation costs for smokers, compared with $176 for nonsmokers.</w:t>
            </w:r>
            <w:r>
              <w:rPr>
                <w:rStyle w:val="EndnoteReference"/>
                <w:rFonts w:ascii="Myriad Pro" w:hAnsi="Myriad Pro" w:cs="Times New Roman"/>
                <w:sz w:val="20"/>
                <w:szCs w:val="20"/>
              </w:rPr>
              <w:endnoteReference w:id="7"/>
            </w:r>
            <w:r>
              <w:rPr>
                <w:rFonts w:ascii="Myriad Pro" w:hAnsi="Myriad Pro" w:cs="Times New Roman"/>
                <w:sz w:val="20"/>
                <w:szCs w:val="20"/>
              </w:rPr>
              <w:t xml:space="preserve"> </w:t>
            </w:r>
          </w:p>
          <w:p w:rsidR="002F22F3" w:rsidRDefault="002F22F3" w:rsidP="002F22F3">
            <w:pPr>
              <w:ind w:left="720" w:right="530"/>
              <w:rPr>
                <w:rFonts w:ascii="Myriad Pro" w:hAnsi="Myriad Pro" w:cs="Myriad Pro"/>
                <w:b/>
                <w:bCs/>
                <w:color w:val="004250"/>
                <w:sz w:val="26"/>
                <w:szCs w:val="26"/>
              </w:rPr>
            </w:pPr>
          </w:p>
          <w:p w:rsidR="002F22F3" w:rsidRDefault="002F22F3" w:rsidP="002F22F3">
            <w:pPr>
              <w:ind w:left="720" w:right="530"/>
              <w:rPr>
                <w:rFonts w:ascii="Myriad Pro" w:hAnsi="Myriad Pro" w:cs="Times New Roman"/>
                <w:sz w:val="20"/>
                <w:szCs w:val="20"/>
              </w:rPr>
            </w:pPr>
            <w:r>
              <w:rPr>
                <w:rFonts w:ascii="Myriad Pro" w:hAnsi="Myriad Pro" w:cs="Myriad Pro"/>
                <w:b/>
                <w:bCs/>
                <w:color w:val="004250"/>
                <w:sz w:val="26"/>
                <w:szCs w:val="26"/>
              </w:rPr>
              <w:t>EFFECTIVE CESSATION TREATMENTS</w:t>
            </w:r>
            <w:r>
              <w:rPr>
                <w:rFonts w:ascii="Myriad Pro" w:hAnsi="Myriad Pro" w:cs="Myriad Pro"/>
                <w:b/>
                <w:bCs/>
                <w:color w:val="004250"/>
                <w:sz w:val="26"/>
                <w:szCs w:val="26"/>
              </w:rPr>
              <w:br/>
            </w:r>
          </w:p>
          <w:p w:rsidR="002F22F3" w:rsidRDefault="002F22F3" w:rsidP="002F22F3">
            <w:pPr>
              <w:pStyle w:val="ListParagraph"/>
              <w:numPr>
                <w:ilvl w:val="0"/>
                <w:numId w:val="17"/>
              </w:numPr>
              <w:ind w:left="1440" w:right="530" w:hanging="450"/>
              <w:rPr>
                <w:rFonts w:ascii="Myriad Pro" w:hAnsi="Myriad Pro" w:cs="Times New Roman"/>
                <w:sz w:val="20"/>
                <w:szCs w:val="20"/>
              </w:rPr>
            </w:pPr>
            <w:r>
              <w:rPr>
                <w:rFonts w:ascii="Myriad Pro" w:hAnsi="Myriad Pro" w:cs="Times New Roman"/>
                <w:sz w:val="20"/>
                <w:szCs w:val="20"/>
              </w:rPr>
              <w:t>Face-to-face counseling and interactive telephonic (quitline) counseling are more effective than  provid</w:t>
            </w:r>
            <w:r w:rsidR="00F511E1">
              <w:rPr>
                <w:rFonts w:ascii="Myriad Pro" w:hAnsi="Myriad Pro" w:cs="Times New Roman"/>
                <w:sz w:val="20"/>
                <w:szCs w:val="20"/>
              </w:rPr>
              <w:t>ing</w:t>
            </w:r>
            <w:r>
              <w:rPr>
                <w:rFonts w:ascii="Myriad Pro" w:hAnsi="Myriad Pro" w:cs="Times New Roman"/>
                <w:sz w:val="20"/>
                <w:szCs w:val="20"/>
              </w:rPr>
              <w:t xml:space="preserve"> educational and self-help materials .</w:t>
            </w:r>
            <w:r>
              <w:rPr>
                <w:rStyle w:val="EndnoteReference"/>
                <w:rFonts w:ascii="Myriad Pro" w:hAnsi="Myriad Pro" w:cs="Times New Roman"/>
                <w:sz w:val="20"/>
                <w:szCs w:val="20"/>
              </w:rPr>
              <w:endnoteReference w:id="8"/>
            </w:r>
          </w:p>
          <w:p w:rsidR="002F22F3" w:rsidRDefault="002F22F3" w:rsidP="002F22F3">
            <w:pPr>
              <w:pStyle w:val="ListParagraph"/>
              <w:numPr>
                <w:ilvl w:val="0"/>
                <w:numId w:val="18"/>
              </w:numPr>
              <w:ind w:left="1440" w:right="530" w:hanging="450"/>
              <w:rPr>
                <w:rFonts w:ascii="Myriad Pro" w:hAnsi="Myriad Pro" w:cs="Times New Roman"/>
                <w:sz w:val="20"/>
                <w:szCs w:val="20"/>
              </w:rPr>
            </w:pPr>
            <w:r>
              <w:rPr>
                <w:rFonts w:ascii="Myriad Pro" w:hAnsi="Myriad Pro" w:cs="Times New Roman"/>
                <w:sz w:val="20"/>
                <w:szCs w:val="20"/>
              </w:rPr>
              <w:t xml:space="preserve">Tobacco users </w:t>
            </w:r>
            <w:r w:rsidR="00F511E1">
              <w:rPr>
                <w:rFonts w:ascii="Myriad Pro" w:hAnsi="Myriad Pro" w:cs="Times New Roman"/>
                <w:sz w:val="20"/>
                <w:szCs w:val="20"/>
              </w:rPr>
              <w:t xml:space="preserve">who </w:t>
            </w:r>
            <w:r>
              <w:rPr>
                <w:rFonts w:ascii="Myriad Pro" w:hAnsi="Myriad Pro" w:cs="Times New Roman"/>
                <w:sz w:val="20"/>
                <w:szCs w:val="20"/>
              </w:rPr>
              <w:t>receiv</w:t>
            </w:r>
            <w:r w:rsidR="00F511E1">
              <w:rPr>
                <w:rFonts w:ascii="Myriad Pro" w:hAnsi="Myriad Pro" w:cs="Times New Roman"/>
                <w:sz w:val="20"/>
                <w:szCs w:val="20"/>
              </w:rPr>
              <w:t>e</w:t>
            </w:r>
            <w:r>
              <w:rPr>
                <w:rFonts w:ascii="Myriad Pro" w:hAnsi="Myriad Pro" w:cs="Times New Roman"/>
                <w:sz w:val="20"/>
                <w:szCs w:val="20"/>
              </w:rPr>
              <w:t xml:space="preserve"> quitline counseling are 60% more likely to quit than tobacco users quitting on their own.</w:t>
            </w:r>
            <w:r>
              <w:rPr>
                <w:rFonts w:ascii="Myriad Pro" w:hAnsi="Myriad Pro" w:cs="Times New Roman"/>
                <w:sz w:val="20"/>
                <w:szCs w:val="20"/>
                <w:vertAlign w:val="superscript"/>
              </w:rPr>
              <w:t>9</w:t>
            </w:r>
            <w:r>
              <w:rPr>
                <w:rFonts w:ascii="Myriad Pro" w:hAnsi="Myriad Pro" w:cs="Times New Roman"/>
                <w:sz w:val="20"/>
                <w:szCs w:val="20"/>
              </w:rPr>
              <w:t xml:space="preserve"> </w:t>
            </w:r>
          </w:p>
          <w:p w:rsidR="002F22F3" w:rsidRDefault="002F22F3" w:rsidP="002F22F3">
            <w:pPr>
              <w:pStyle w:val="ListParagraph"/>
              <w:numPr>
                <w:ilvl w:val="0"/>
                <w:numId w:val="18"/>
              </w:numPr>
              <w:ind w:left="1440" w:right="530" w:hanging="450"/>
              <w:rPr>
                <w:rFonts w:ascii="Myriad Pro" w:hAnsi="Myriad Pro" w:cs="Times New Roman"/>
                <w:sz w:val="20"/>
                <w:szCs w:val="20"/>
              </w:rPr>
            </w:pPr>
            <w:r>
              <w:rPr>
                <w:rFonts w:ascii="Myriad Pro" w:hAnsi="Myriad Pro" w:cs="Times New Roman"/>
                <w:sz w:val="20"/>
                <w:szCs w:val="20"/>
              </w:rPr>
              <w:t>Smokers who receive quitline  counseling and take cessation medications are 30% more likely to quit compared to those only using cessation medications.</w:t>
            </w:r>
            <w:r>
              <w:rPr>
                <w:rFonts w:ascii="Myriad Pro" w:hAnsi="Myriad Pro" w:cs="Times New Roman"/>
                <w:sz w:val="20"/>
                <w:szCs w:val="20"/>
                <w:vertAlign w:val="superscript"/>
              </w:rPr>
              <w:t>9</w:t>
            </w:r>
            <w:r>
              <w:rPr>
                <w:rFonts w:ascii="Myriad Pro" w:hAnsi="Myriad Pro" w:cs="Times New Roman"/>
                <w:sz w:val="20"/>
                <w:szCs w:val="20"/>
              </w:rPr>
              <w:t xml:space="preserve"> </w:t>
            </w:r>
          </w:p>
          <w:p w:rsidR="002F22F3" w:rsidRDefault="002F22F3" w:rsidP="002F22F3">
            <w:pPr>
              <w:pStyle w:val="ListParagraph"/>
              <w:numPr>
                <w:ilvl w:val="0"/>
                <w:numId w:val="18"/>
              </w:numPr>
              <w:ind w:left="1440" w:right="530" w:hanging="450"/>
              <w:rPr>
                <w:rFonts w:ascii="Myriad Pro" w:hAnsi="Myriad Pro" w:cs="Times New Roman"/>
                <w:sz w:val="20"/>
                <w:szCs w:val="20"/>
              </w:rPr>
            </w:pPr>
            <w:r>
              <w:rPr>
                <w:rFonts w:ascii="Myriad Pro" w:hAnsi="Myriad Pro" w:cs="Times New Roman"/>
                <w:sz w:val="20"/>
                <w:szCs w:val="20"/>
              </w:rPr>
              <w:t>Health insurance coverage of medication and counseling increases the use of effective treatments.</w:t>
            </w:r>
            <w:r>
              <w:rPr>
                <w:rFonts w:ascii="Myriad Pro" w:hAnsi="Myriad Pro" w:cs="Times New Roman"/>
                <w:sz w:val="20"/>
                <w:szCs w:val="20"/>
                <w:vertAlign w:val="superscript"/>
              </w:rPr>
              <w:t xml:space="preserve"> 9</w:t>
            </w:r>
          </w:p>
          <w:p w:rsidR="002F22F3" w:rsidRDefault="002F22F3" w:rsidP="002F22F3">
            <w:pPr>
              <w:ind w:left="720" w:right="530"/>
            </w:pPr>
          </w:p>
          <w:p w:rsidR="002F22F3" w:rsidRDefault="002F22F3" w:rsidP="002F22F3">
            <w:pPr>
              <w:ind w:left="720" w:right="530"/>
              <w:outlineLvl w:val="2"/>
              <w:rPr>
                <w:rFonts w:ascii="Myriad Pro" w:hAnsi="Myriad Pro"/>
                <w:b/>
                <w:bCs/>
                <w:sz w:val="20"/>
                <w:szCs w:val="20"/>
              </w:rPr>
            </w:pPr>
            <w:r>
              <w:rPr>
                <w:rFonts w:ascii="Myriad Pro" w:hAnsi="Myriad Pro" w:cs="Myriad Pro"/>
                <w:b/>
                <w:bCs/>
                <w:color w:val="004250"/>
                <w:sz w:val="26"/>
                <w:szCs w:val="26"/>
              </w:rPr>
              <w:t>TOBACCO CESSATION TREATMENTS ARE COST-EFFECTIVE and COST-SAVING</w:t>
            </w:r>
            <w:r>
              <w:rPr>
                <w:rFonts w:ascii="Myriad Pro" w:hAnsi="Myriad Pro" w:cs="Myriad Pro"/>
                <w:b/>
                <w:bCs/>
                <w:color w:val="004250"/>
                <w:sz w:val="26"/>
                <w:szCs w:val="26"/>
              </w:rPr>
              <w:br/>
            </w:r>
          </w:p>
          <w:p w:rsidR="002F22F3" w:rsidRDefault="002F22F3" w:rsidP="002F22F3">
            <w:pPr>
              <w:pStyle w:val="ListParagraph"/>
              <w:numPr>
                <w:ilvl w:val="0"/>
                <w:numId w:val="19"/>
              </w:numPr>
              <w:ind w:left="1440" w:right="530" w:hanging="450"/>
              <w:rPr>
                <w:rFonts w:ascii="Myriad Pro" w:hAnsi="Myriad Pro" w:cs="Times New Roman"/>
                <w:sz w:val="20"/>
                <w:szCs w:val="20"/>
              </w:rPr>
            </w:pPr>
            <w:r>
              <w:rPr>
                <w:rFonts w:ascii="Myriad Pro" w:hAnsi="Myriad Pro" w:cs="Times New Roman"/>
                <w:sz w:val="20"/>
                <w:szCs w:val="20"/>
              </w:rPr>
              <w:t>Studies have shown that tobacco treatment is more cost–effective than other common and covered prevention interventions, such as the treatment of hypertension and high blood cholesterol.</w:t>
            </w:r>
            <w:r>
              <w:rPr>
                <w:rStyle w:val="FootnoteReference"/>
                <w:rFonts w:ascii="Myriad Pro" w:hAnsi="Myriad Pro" w:cs="Times New Roman"/>
              </w:rPr>
              <w:footnoteReference w:id="1"/>
            </w:r>
            <w:r>
              <w:rPr>
                <w:rStyle w:val="FootnoteReference"/>
                <w:rFonts w:ascii="Myriad Pro" w:hAnsi="Myriad Pro" w:cs="Times New Roman"/>
              </w:rPr>
              <w:t>0</w:t>
            </w:r>
          </w:p>
          <w:p w:rsidR="002F22F3" w:rsidRDefault="002F22F3" w:rsidP="002F22F3">
            <w:pPr>
              <w:pStyle w:val="ListParagraph"/>
              <w:numPr>
                <w:ilvl w:val="0"/>
                <w:numId w:val="19"/>
              </w:numPr>
              <w:ind w:left="1440" w:right="530" w:hanging="450"/>
              <w:rPr>
                <w:rFonts w:ascii="Myriad Pro" w:hAnsi="Myriad Pro" w:cs="Times New Roman"/>
                <w:sz w:val="20"/>
                <w:szCs w:val="20"/>
              </w:rPr>
            </w:pPr>
            <w:r>
              <w:rPr>
                <w:rFonts w:ascii="Myriad Pro" w:hAnsi="Myriad Pro" w:cs="Times New Roman"/>
                <w:sz w:val="20"/>
                <w:szCs w:val="20"/>
              </w:rPr>
              <w:t>Cost analyses have shown that tobacco cessation benefits, from an employers perspective, are cost-saving.</w:t>
            </w:r>
            <w:r>
              <w:rPr>
                <w:rFonts w:ascii="Myriad Pro" w:hAnsi="Myriad Pro" w:cs="Times New Roman"/>
                <w:sz w:val="20"/>
                <w:szCs w:val="20"/>
                <w:vertAlign w:val="superscript"/>
              </w:rPr>
              <w:t>2</w:t>
            </w:r>
            <w:r>
              <w:rPr>
                <w:rFonts w:ascii="Myriad Pro" w:hAnsi="Myriad Pro" w:cs="Times New Roman"/>
                <w:sz w:val="20"/>
                <w:szCs w:val="20"/>
              </w:rPr>
              <w:t xml:space="preserve"> </w:t>
            </w:r>
          </w:p>
          <w:p w:rsidR="002F22F3" w:rsidRDefault="002F22F3" w:rsidP="002F22F3">
            <w:pPr>
              <w:ind w:left="720" w:right="530"/>
              <w:outlineLvl w:val="2"/>
              <w:rPr>
                <w:rFonts w:ascii="Myriad Pro" w:hAnsi="Myriad Pro"/>
                <w:bCs/>
                <w:sz w:val="20"/>
                <w:szCs w:val="20"/>
              </w:rPr>
            </w:pPr>
          </w:p>
          <w:p w:rsidR="002F22F3" w:rsidRDefault="002F22F3" w:rsidP="002F22F3">
            <w:pPr>
              <w:ind w:left="720" w:right="530"/>
              <w:outlineLvl w:val="2"/>
              <w:rPr>
                <w:rFonts w:ascii="Myriad Pro" w:hAnsi="Myriad Pro"/>
                <w:b/>
                <w:bCs/>
                <w:sz w:val="20"/>
                <w:szCs w:val="20"/>
              </w:rPr>
            </w:pPr>
            <w:r>
              <w:rPr>
                <w:rFonts w:ascii="Myriad Pro" w:hAnsi="Myriad Pro" w:cs="Myriad Pro"/>
                <w:b/>
                <w:bCs/>
                <w:color w:val="004250"/>
                <w:sz w:val="26"/>
                <w:szCs w:val="26"/>
              </w:rPr>
              <w:t>RETURN-ON-INVESTMENT (ROI)</w:t>
            </w:r>
            <w:r>
              <w:rPr>
                <w:rFonts w:ascii="Myriad Pro" w:hAnsi="Myriad Pro"/>
                <w:b/>
                <w:bCs/>
                <w:sz w:val="20"/>
                <w:szCs w:val="20"/>
              </w:rPr>
              <w:t xml:space="preserve"> </w:t>
            </w:r>
            <w:r>
              <w:rPr>
                <w:rFonts w:ascii="Myriad Pro" w:hAnsi="Myriad Pro"/>
                <w:bCs/>
                <w:sz w:val="20"/>
                <w:szCs w:val="20"/>
              </w:rPr>
              <w:t xml:space="preserve"> </w:t>
            </w:r>
            <w:r>
              <w:rPr>
                <w:rFonts w:ascii="Myriad Pro" w:hAnsi="Myriad Pro"/>
                <w:bCs/>
                <w:sz w:val="20"/>
                <w:szCs w:val="20"/>
              </w:rPr>
              <w:br/>
            </w:r>
          </w:p>
          <w:p w:rsidR="002F22F3" w:rsidRDefault="002F22F3" w:rsidP="002F22F3">
            <w:pPr>
              <w:pStyle w:val="ListParagraph"/>
              <w:numPr>
                <w:ilvl w:val="0"/>
                <w:numId w:val="19"/>
              </w:numPr>
              <w:ind w:left="1440" w:right="530" w:hanging="450"/>
              <w:rPr>
                <w:rFonts w:ascii="Myriad Pro" w:hAnsi="Myriad Pro" w:cs="Times New Roman"/>
                <w:sz w:val="20"/>
                <w:szCs w:val="20"/>
              </w:rPr>
            </w:pPr>
            <w:r>
              <w:rPr>
                <w:rFonts w:ascii="Myriad Pro" w:hAnsi="Myriad Pro" w:cs="Times New Roman"/>
                <w:sz w:val="20"/>
                <w:szCs w:val="20"/>
              </w:rPr>
              <w:t xml:space="preserve">The ROI for an employer is based on savings from reduced medical expenses, productivity loss, and costs of employer-provided benefits, such as life insurance.  </w:t>
            </w:r>
          </w:p>
          <w:p w:rsidR="002F22F3" w:rsidRDefault="002F22F3" w:rsidP="002F22F3">
            <w:pPr>
              <w:pStyle w:val="ListParagraph"/>
              <w:numPr>
                <w:ilvl w:val="0"/>
                <w:numId w:val="19"/>
              </w:numPr>
              <w:ind w:left="1440" w:right="530" w:hanging="450"/>
              <w:rPr>
                <w:rFonts w:ascii="Myriad Pro" w:hAnsi="Myriad Pro" w:cs="Times New Roman"/>
                <w:sz w:val="20"/>
                <w:szCs w:val="20"/>
              </w:rPr>
            </w:pPr>
            <w:r>
              <w:rPr>
                <w:rFonts w:ascii="Myriad Pro" w:hAnsi="Myriad Pro" w:cs="Times New Roman"/>
                <w:sz w:val="20"/>
                <w:szCs w:val="20"/>
              </w:rPr>
              <w:t>Research finds the ROI for tobacco cessation treatments is positive after just one year due to increases in employee productivity alone.</w:t>
            </w:r>
            <w:r>
              <w:rPr>
                <w:rFonts w:ascii="Myriad Pro" w:hAnsi="Myriad Pro" w:cs="Times New Roman"/>
                <w:sz w:val="20"/>
                <w:szCs w:val="20"/>
                <w:vertAlign w:val="superscript"/>
              </w:rPr>
              <w:t xml:space="preserve"> 11</w:t>
            </w:r>
          </w:p>
          <w:p w:rsidR="002F22F3" w:rsidRDefault="002F22F3" w:rsidP="002F22F3">
            <w:pPr>
              <w:pStyle w:val="ListParagraph"/>
              <w:numPr>
                <w:ilvl w:val="0"/>
                <w:numId w:val="19"/>
              </w:numPr>
              <w:ind w:left="1440" w:right="530" w:hanging="450"/>
              <w:rPr>
                <w:rFonts w:ascii="Myriad Pro" w:hAnsi="Myriad Pro" w:cs="Times New Roman"/>
                <w:sz w:val="20"/>
                <w:szCs w:val="20"/>
              </w:rPr>
            </w:pPr>
            <w:r>
              <w:rPr>
                <w:rFonts w:ascii="Myriad Pro" w:hAnsi="Myriad Pro" w:cs="Times New Roman"/>
                <w:sz w:val="20"/>
                <w:szCs w:val="20"/>
              </w:rPr>
              <w:t>Medical cost savings begin to build after two years of providing a cessation benefit to employees.</w:t>
            </w:r>
            <w:r>
              <w:rPr>
                <w:rFonts w:ascii="Myriad Pro" w:hAnsi="Myriad Pro" w:cs="Times New Roman"/>
                <w:sz w:val="20"/>
                <w:szCs w:val="20"/>
                <w:vertAlign w:val="superscript"/>
              </w:rPr>
              <w:t>11</w:t>
            </w:r>
          </w:p>
          <w:p w:rsidR="00CB18B6" w:rsidRPr="00CB75A2" w:rsidRDefault="00CB18B6" w:rsidP="00BA5CE8">
            <w:pPr>
              <w:ind w:left="720" w:right="530"/>
              <w:rPr>
                <w:rFonts w:ascii="Myriad Pro" w:hAnsi="Myriad Pro"/>
                <w:sz w:val="20"/>
                <w:szCs w:val="20"/>
              </w:rPr>
            </w:pPr>
          </w:p>
        </w:tc>
      </w:tr>
      <w:tr w:rsidR="004F6ABE" w:rsidTr="005059E5">
        <w:trPr>
          <w:trHeight w:val="345"/>
        </w:trPr>
        <w:tc>
          <w:tcPr>
            <w:tcW w:w="12266" w:type="dxa"/>
            <w:shd w:val="clear" w:color="auto" w:fill="EEECE1" w:themeFill="background2"/>
          </w:tcPr>
          <w:p w:rsidR="004F6ABE" w:rsidRPr="00E332A1" w:rsidRDefault="00EF2E89" w:rsidP="009F6CA0">
            <w:pPr>
              <w:ind w:left="720" w:right="530"/>
              <w:jc w:val="center"/>
              <w:rPr>
                <w:rFonts w:ascii="Myriad Pro" w:hAnsi="Myriad Pro"/>
                <w:i/>
                <w:color w:val="000000" w:themeColor="text1"/>
                <w:sz w:val="20"/>
                <w:szCs w:val="20"/>
              </w:rPr>
            </w:pPr>
            <w:r w:rsidRPr="00E332A1">
              <w:rPr>
                <w:rFonts w:ascii="Myriad Pro" w:hAnsi="Myriad Pro"/>
                <w:b/>
                <w:i/>
                <w:color w:val="000000" w:themeColor="text1"/>
                <w:sz w:val="20"/>
                <w:szCs w:val="20"/>
              </w:rPr>
              <w:t xml:space="preserve">To access </w:t>
            </w:r>
            <w:r w:rsidR="003B40FD">
              <w:rPr>
                <w:rFonts w:ascii="Myriad Pro" w:hAnsi="Myriad Pro"/>
                <w:b/>
                <w:i/>
                <w:color w:val="000000" w:themeColor="text1"/>
                <w:sz w:val="20"/>
                <w:szCs w:val="20"/>
              </w:rPr>
              <w:t xml:space="preserve">additional </w:t>
            </w:r>
            <w:r w:rsidRPr="00E332A1">
              <w:rPr>
                <w:rFonts w:ascii="Myriad Pro" w:hAnsi="Myriad Pro"/>
                <w:b/>
                <w:i/>
                <w:color w:val="000000" w:themeColor="text1"/>
                <w:sz w:val="20"/>
                <w:szCs w:val="20"/>
              </w:rPr>
              <w:t xml:space="preserve">resources and tools, go to: </w:t>
            </w:r>
            <w:r w:rsidRPr="00E332A1">
              <w:rPr>
                <w:rFonts w:ascii="Myriad Pro" w:hAnsi="Myriad Pro"/>
                <w:i/>
                <w:color w:val="000000" w:themeColor="text1"/>
                <w:sz w:val="20"/>
                <w:szCs w:val="20"/>
              </w:rPr>
              <w:t xml:space="preserve"> </w:t>
            </w:r>
            <w:hyperlink r:id="rId12" w:history="1">
              <w:r w:rsidRPr="00E332A1">
                <w:rPr>
                  <w:rStyle w:val="Hyperlink"/>
                  <w:rFonts w:ascii="Myriad Pro" w:hAnsi="Myriad Pro"/>
                  <w:i/>
                  <w:color w:val="000000" w:themeColor="text1"/>
                  <w:sz w:val="20"/>
                  <w:szCs w:val="20"/>
                </w:rPr>
                <w:t>http://www.naquitline.org/?page=PPP</w:t>
              </w:r>
            </w:hyperlink>
          </w:p>
        </w:tc>
      </w:tr>
    </w:tbl>
    <w:p w:rsidR="005059E5" w:rsidRPr="00CC3579" w:rsidRDefault="002F22F3" w:rsidP="00CC3579">
      <w:pPr>
        <w:ind w:left="720" w:hanging="720"/>
        <w:rPr>
          <w:rFonts w:ascii="Myriad Pro" w:hAnsi="Myriad Pro" w:cs="Myriad Pro"/>
          <w:b/>
          <w:bCs/>
          <w:color w:val="004250"/>
          <w:sz w:val="26"/>
          <w:szCs w:val="26"/>
        </w:rPr>
      </w:pPr>
      <w:r>
        <w:rPr>
          <w:rFonts w:ascii="Myriad Pro" w:hAnsi="Myriad Pro" w:cs="Myriad Pro"/>
          <w:b/>
          <w:bCs/>
          <w:color w:val="004250"/>
          <w:sz w:val="26"/>
          <w:szCs w:val="26"/>
        </w:rPr>
        <w:lastRenderedPageBreak/>
        <w:br/>
      </w:r>
      <w:r w:rsidR="003872D0">
        <w:rPr>
          <w:rFonts w:ascii="Myriad Pro" w:hAnsi="Myriad Pro" w:cs="Myriad Pro"/>
          <w:b/>
          <w:bCs/>
          <w:color w:val="004250"/>
          <w:sz w:val="26"/>
          <w:szCs w:val="26"/>
        </w:rPr>
        <w:t>REFERENCES</w:t>
      </w:r>
    </w:p>
    <w:sectPr w:rsidR="005059E5" w:rsidRPr="00CC3579" w:rsidSect="002F22F3">
      <w:footnotePr>
        <w:numStart w:val="10"/>
        <w:numRestart w:val="eachSect"/>
      </w:footnotePr>
      <w:endnotePr>
        <w:numFmt w:val="decimal"/>
        <w:numRestart w:val="eachSect"/>
      </w:endnotePr>
      <w:type w:val="continuous"/>
      <w:pgSz w:w="12240" w:h="15840" w:code="1"/>
      <w:pgMar w:top="72" w:right="72" w:bottom="72" w:left="72" w:header="72"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6E" w:rsidRDefault="007E0A6E" w:rsidP="004F6ABE">
      <w:pPr>
        <w:spacing w:after="0" w:line="240" w:lineRule="auto"/>
      </w:pPr>
    </w:p>
  </w:endnote>
  <w:endnote w:type="continuationSeparator" w:id="0">
    <w:p w:rsidR="007E0A6E" w:rsidRDefault="007E0A6E" w:rsidP="004F6ABE">
      <w:pPr>
        <w:spacing w:after="0" w:line="240" w:lineRule="auto"/>
      </w:pPr>
      <w:r>
        <w:continuationSeparator/>
      </w:r>
    </w:p>
  </w:endnote>
  <w:endnote w:id="1">
    <w:p w:rsidR="002F22F3" w:rsidRDefault="002F22F3" w:rsidP="002F22F3">
      <w:pPr>
        <w:pStyle w:val="EndnoteText"/>
        <w:ind w:left="720" w:right="576"/>
        <w:rPr>
          <w:rFonts w:ascii="Myriad Pro" w:hAnsi="Myriad Pro" w:cs="Times New Roman"/>
        </w:rPr>
      </w:pPr>
      <w:r>
        <w:rPr>
          <w:rStyle w:val="EndnoteReference"/>
          <w:rFonts w:ascii="Myriad Pro" w:hAnsi="Myriad Pro" w:cs="Times New Roman"/>
        </w:rPr>
        <w:t>1</w:t>
      </w:r>
      <w:r>
        <w:rPr>
          <w:rFonts w:ascii="Myriad Pro" w:hAnsi="Myriad Pro" w:cs="Times New Roman"/>
        </w:rPr>
        <w:t xml:space="preserve"> Partnership for Prevention. </w:t>
      </w:r>
      <w:r>
        <w:rPr>
          <w:rFonts w:ascii="Myriad Pro" w:hAnsi="Myriad Pro" w:cs="Times New Roman"/>
          <w:i/>
        </w:rPr>
        <w:t>Why Invest? Recommendations for Improving Your Prevention Investment.</w:t>
      </w:r>
      <w:r>
        <w:rPr>
          <w:rFonts w:ascii="Myriad Pro" w:hAnsi="Myriad Pro" w:cs="Times New Roman"/>
        </w:rPr>
        <w:t xml:space="preserve"> June 2007.</w:t>
      </w:r>
    </w:p>
    <w:p w:rsidR="002F22F3" w:rsidRDefault="002F22F3" w:rsidP="002F22F3">
      <w:pPr>
        <w:pStyle w:val="EndnoteText"/>
        <w:ind w:left="720" w:right="576"/>
        <w:rPr>
          <w:rFonts w:ascii="Myriad Pro" w:hAnsi="Myriad Pro" w:cs="Times New Roman"/>
        </w:rPr>
      </w:pPr>
    </w:p>
  </w:endnote>
  <w:endnote w:id="2">
    <w:p w:rsidR="002F22F3" w:rsidRDefault="002F22F3" w:rsidP="002F22F3">
      <w:pPr>
        <w:pStyle w:val="EndnoteText"/>
        <w:ind w:left="720" w:right="576"/>
        <w:rPr>
          <w:rFonts w:ascii="Myriad Pro" w:hAnsi="Myriad Pro" w:cs="Times New Roman"/>
        </w:rPr>
      </w:pPr>
      <w:r>
        <w:rPr>
          <w:rStyle w:val="EndnoteReference"/>
          <w:rFonts w:ascii="Myriad Pro" w:hAnsi="Myriad Pro" w:cs="Times New Roman"/>
        </w:rPr>
        <w:t>2</w:t>
      </w:r>
      <w:r>
        <w:rPr>
          <w:rFonts w:ascii="Myriad Pro" w:hAnsi="Myriad Pro" w:cs="Times New Roman"/>
        </w:rPr>
        <w:t xml:space="preserve"> Campbell KP, Lanza A, Dixon R, Chattopadhyay S, Molinari N, Finch, RA, editors. </w:t>
      </w:r>
      <w:r>
        <w:rPr>
          <w:rFonts w:ascii="Myriad Pro" w:hAnsi="Myriad Pro" w:cs="Times New Roman"/>
          <w:i/>
        </w:rPr>
        <w:t>A purchaser’s guide to clinical preventive services: moving science into coverage.</w:t>
      </w:r>
      <w:r>
        <w:rPr>
          <w:rFonts w:ascii="Myriad Pro" w:hAnsi="Myriad Pro" w:cs="Times New Roman"/>
        </w:rPr>
        <w:t xml:space="preserve">  Washington, DC: National Business Group on Health; 2006.</w:t>
      </w:r>
    </w:p>
    <w:p w:rsidR="002F22F3" w:rsidRDefault="002F22F3" w:rsidP="002F22F3">
      <w:pPr>
        <w:pStyle w:val="EndnoteText"/>
        <w:ind w:left="720" w:right="576"/>
        <w:rPr>
          <w:rFonts w:ascii="Myriad Pro" w:hAnsi="Myriad Pro" w:cs="Times New Roman"/>
        </w:rPr>
      </w:pPr>
    </w:p>
  </w:endnote>
  <w:endnote w:id="3">
    <w:p w:rsidR="002F22F3" w:rsidRDefault="002F22F3" w:rsidP="002F22F3">
      <w:pPr>
        <w:pStyle w:val="EndnoteText"/>
        <w:ind w:left="720" w:right="576"/>
        <w:rPr>
          <w:rFonts w:ascii="Myriad Pro" w:hAnsi="Myriad Pro" w:cs="Times New Roman"/>
        </w:rPr>
      </w:pPr>
      <w:r>
        <w:rPr>
          <w:rStyle w:val="EndnoteReference"/>
          <w:rFonts w:ascii="Myriad Pro" w:hAnsi="Myriad Pro" w:cs="Times New Roman"/>
        </w:rPr>
        <w:t>3</w:t>
      </w:r>
      <w:r>
        <w:rPr>
          <w:rFonts w:ascii="Myriad Pro" w:hAnsi="Myriad Pro" w:cs="Times New Roman"/>
        </w:rPr>
        <w:t xml:space="preserve"> Centers for Disease Control and Prevention. </w:t>
      </w:r>
      <w:r>
        <w:rPr>
          <w:rFonts w:ascii="Myriad Pro" w:hAnsi="Myriad Pro" w:cs="Times New Roman"/>
          <w:i/>
          <w:iCs/>
        </w:rPr>
        <w:t>Smoking-attributable mortality, years of potential life lost, and productivity losses: United States, 2000-2004</w:t>
      </w:r>
      <w:r>
        <w:rPr>
          <w:rFonts w:ascii="Myriad Pro" w:hAnsi="Myriad Pro" w:cs="Times New Roman"/>
        </w:rPr>
        <w:t>. Morbidity and Mortality Weekly Report, 2008; 57(45): 1226-8.</w:t>
      </w:r>
    </w:p>
    <w:p w:rsidR="002F22F3" w:rsidRDefault="002F22F3" w:rsidP="002F22F3">
      <w:pPr>
        <w:pStyle w:val="EndnoteText"/>
        <w:ind w:left="720" w:right="576"/>
        <w:rPr>
          <w:rFonts w:ascii="Myriad Pro" w:hAnsi="Myriad Pro" w:cs="Times New Roman"/>
        </w:rPr>
      </w:pPr>
    </w:p>
  </w:endnote>
  <w:endnote w:id="4">
    <w:p w:rsidR="002F22F3" w:rsidRDefault="002F22F3" w:rsidP="002F22F3">
      <w:pPr>
        <w:pStyle w:val="NoSpacing"/>
        <w:ind w:left="720" w:right="576"/>
        <w:rPr>
          <w:rFonts w:ascii="Myriad Pro" w:hAnsi="Myriad Pro" w:cs="Times New Roman"/>
          <w:sz w:val="20"/>
          <w:szCs w:val="20"/>
        </w:rPr>
      </w:pPr>
      <w:r>
        <w:rPr>
          <w:rStyle w:val="EndnoteReference"/>
          <w:rFonts w:ascii="Myriad Pro" w:hAnsi="Myriad Pro" w:cs="Times New Roman"/>
          <w:sz w:val="20"/>
          <w:szCs w:val="20"/>
        </w:rPr>
        <w:t>4</w:t>
      </w:r>
      <w:r>
        <w:rPr>
          <w:rFonts w:ascii="Myriad Pro" w:hAnsi="Myriad Pro" w:cs="Times New Roman"/>
          <w:sz w:val="20"/>
          <w:szCs w:val="20"/>
        </w:rPr>
        <w:t xml:space="preserve"> Lightwood J, Glantz S. Short-term economic and health benefits of smoking cessation. </w:t>
      </w:r>
      <w:r>
        <w:rPr>
          <w:rFonts w:ascii="Myriad Pro" w:hAnsi="Myriad Pro" w:cs="Times New Roman"/>
          <w:i/>
          <w:sz w:val="20"/>
          <w:szCs w:val="20"/>
        </w:rPr>
        <w:t>Circulation</w:t>
      </w:r>
      <w:r>
        <w:rPr>
          <w:rFonts w:ascii="Myriad Pro" w:hAnsi="Myriad Pro" w:cs="Times New Roman"/>
          <w:sz w:val="20"/>
          <w:szCs w:val="20"/>
        </w:rPr>
        <w:t xml:space="preserve"> 1997;96(4):1089-1096.</w:t>
      </w:r>
    </w:p>
    <w:p w:rsidR="002F22F3" w:rsidRDefault="002F22F3" w:rsidP="002F22F3">
      <w:pPr>
        <w:pStyle w:val="NoSpacing"/>
        <w:ind w:left="720" w:right="576" w:hanging="180"/>
        <w:rPr>
          <w:rFonts w:ascii="Myriad Pro" w:hAnsi="Myriad Pro" w:cs="Times New Roman"/>
          <w:sz w:val="20"/>
          <w:szCs w:val="20"/>
        </w:rPr>
      </w:pPr>
    </w:p>
  </w:endnote>
  <w:endnote w:id="5">
    <w:p w:rsidR="002F22F3" w:rsidRDefault="002F22F3" w:rsidP="002F22F3">
      <w:pPr>
        <w:pStyle w:val="EndnoteText"/>
        <w:ind w:left="720" w:right="576"/>
        <w:rPr>
          <w:rFonts w:ascii="Myriad Pro" w:hAnsi="Myriad Pro" w:cs="Times New Roman"/>
        </w:rPr>
      </w:pPr>
      <w:r>
        <w:rPr>
          <w:rStyle w:val="EndnoteReference"/>
          <w:rFonts w:ascii="Myriad Pro" w:hAnsi="Myriad Pro" w:cs="Times New Roman"/>
        </w:rPr>
        <w:t>5</w:t>
      </w:r>
      <w:r>
        <w:rPr>
          <w:rFonts w:ascii="Myriad Pro" w:hAnsi="Myriad Pro" w:cs="Times New Roman"/>
        </w:rPr>
        <w:t xml:space="preserve"> Halpern M, Shikiar R, Rentz A, Khan Z. Impact of smoking status on workplace absenteeism and productivity. </w:t>
      </w:r>
      <w:r>
        <w:rPr>
          <w:rFonts w:ascii="Myriad Pro" w:hAnsi="Myriad Pro" w:cs="Times New Roman"/>
          <w:i/>
        </w:rPr>
        <w:t xml:space="preserve">Tob Control.  </w:t>
      </w:r>
      <w:r>
        <w:rPr>
          <w:rFonts w:ascii="Myriad Pro" w:hAnsi="Myriad Pro" w:cs="Times New Roman"/>
        </w:rPr>
        <w:t>2001:10(3):233-238</w:t>
      </w:r>
    </w:p>
  </w:endnote>
  <w:endnote w:id="6">
    <w:p w:rsidR="002F22F3" w:rsidRDefault="002F22F3" w:rsidP="002F22F3">
      <w:pPr>
        <w:pStyle w:val="EndnoteText"/>
        <w:ind w:left="720" w:right="576"/>
        <w:rPr>
          <w:rStyle w:val="Hyperlink"/>
        </w:rPr>
      </w:pPr>
      <w:r>
        <w:rPr>
          <w:rFonts w:ascii="Myriad Pro" w:hAnsi="Myriad Pro" w:cs="Times New Roman"/>
        </w:rPr>
        <w:br/>
      </w:r>
      <w:r>
        <w:rPr>
          <w:rStyle w:val="EndnoteReference"/>
          <w:rFonts w:ascii="Myriad Pro" w:hAnsi="Myriad Pro" w:cs="Times New Roman"/>
        </w:rPr>
        <w:t>6</w:t>
      </w:r>
      <w:r>
        <w:rPr>
          <w:rFonts w:ascii="Myriad Pro" w:hAnsi="Myriad Pro" w:cs="Times New Roman"/>
        </w:rPr>
        <w:t xml:space="preserve"> Americans for NonSmokers’ Rights</w:t>
      </w:r>
      <w:r>
        <w:rPr>
          <w:rFonts w:ascii="Myriad Pro" w:hAnsi="Myriad Pro" w:cs="Times New Roman"/>
          <w:i/>
        </w:rPr>
        <w:t>. Business costs in smoke-filled environments.</w:t>
      </w:r>
      <w:r>
        <w:rPr>
          <w:rFonts w:ascii="Myriad Pro" w:hAnsi="Myriad Pro" w:cs="Times New Roman"/>
        </w:rPr>
        <w:t xml:space="preserve"> Retrieved from </w:t>
      </w:r>
      <w:hyperlink r:id="rId1" w:history="1">
        <w:r>
          <w:rPr>
            <w:rStyle w:val="Hyperlink"/>
            <w:rFonts w:ascii="Myriad Pro" w:hAnsi="Myriad Pro" w:cs="Times New Roman"/>
          </w:rPr>
          <w:t>http://no-smoke.org/document.php?ID=209</w:t>
        </w:r>
      </w:hyperlink>
    </w:p>
    <w:p w:rsidR="002F22F3" w:rsidRDefault="002F22F3" w:rsidP="002F22F3">
      <w:pPr>
        <w:pStyle w:val="EndnoteText"/>
        <w:ind w:left="720" w:right="576"/>
      </w:pPr>
    </w:p>
  </w:endnote>
  <w:endnote w:id="7">
    <w:p w:rsidR="002F22F3" w:rsidRDefault="002F22F3" w:rsidP="002F22F3">
      <w:pPr>
        <w:pStyle w:val="EndnoteText"/>
        <w:ind w:left="720" w:right="576"/>
        <w:rPr>
          <w:rFonts w:ascii="Myriad Pro" w:hAnsi="Myriad Pro" w:cs="Times New Roman"/>
        </w:rPr>
      </w:pPr>
      <w:r>
        <w:rPr>
          <w:rStyle w:val="EndnoteReference"/>
          <w:rFonts w:ascii="Myriad Pro" w:hAnsi="Myriad Pro" w:cs="Times New Roman"/>
        </w:rPr>
        <w:t>7</w:t>
      </w:r>
      <w:r>
        <w:rPr>
          <w:rFonts w:ascii="Myriad Pro" w:hAnsi="Myriad Pro" w:cs="Times New Roman"/>
        </w:rPr>
        <w:t xml:space="preserve"> Musich S, Napier D, Edington D.  the association of health risks with workers’ compensation costs. </w:t>
      </w:r>
      <w:r>
        <w:rPr>
          <w:rFonts w:ascii="Myriad Pro" w:hAnsi="Myriad Pro" w:cs="Times New Roman"/>
          <w:i/>
        </w:rPr>
        <w:t>JOEM</w:t>
      </w:r>
      <w:r>
        <w:rPr>
          <w:rFonts w:ascii="Myriad Pro" w:hAnsi="Myriad Pro" w:cs="Times New Roman"/>
        </w:rPr>
        <w:t>. 2001;43 (6):534-541.</w:t>
      </w:r>
    </w:p>
    <w:p w:rsidR="002F22F3" w:rsidRDefault="002F22F3" w:rsidP="002F22F3">
      <w:pPr>
        <w:pStyle w:val="EndnoteText"/>
        <w:ind w:left="720" w:right="576"/>
        <w:rPr>
          <w:rFonts w:ascii="Myriad Pro" w:hAnsi="Myriad Pro" w:cs="Times New Roman"/>
        </w:rPr>
      </w:pPr>
    </w:p>
  </w:endnote>
  <w:endnote w:id="8">
    <w:p w:rsidR="002F22F3" w:rsidRDefault="002F22F3" w:rsidP="002F22F3">
      <w:pPr>
        <w:pStyle w:val="EndnoteText"/>
        <w:ind w:left="720" w:right="576"/>
        <w:rPr>
          <w:rFonts w:ascii="Myriad Pro" w:hAnsi="Myriad Pro" w:cs="Times New Roman"/>
        </w:rPr>
      </w:pPr>
      <w:r>
        <w:rPr>
          <w:rStyle w:val="EndnoteReference"/>
          <w:rFonts w:ascii="Myriad Pro" w:hAnsi="Myriad Pro" w:cs="Times New Roman"/>
        </w:rPr>
        <w:t>8</w:t>
      </w:r>
      <w:r>
        <w:rPr>
          <w:rFonts w:ascii="Myriad Pro" w:hAnsi="Myriad Pro" w:cs="Times New Roman"/>
        </w:rPr>
        <w:t xml:space="preserve"> Fiore MC, Bailey WC, Cohen SJ, et.. al.  </w:t>
      </w:r>
      <w:r>
        <w:rPr>
          <w:rFonts w:ascii="Myriad Pro" w:hAnsi="Myriad Pro" w:cs="Times New Roman"/>
          <w:i/>
        </w:rPr>
        <w:t>Treating Tobacco Use and Dependence: Clinical Practice Guideline</w:t>
      </w:r>
      <w:r>
        <w:rPr>
          <w:rFonts w:ascii="Myriad Pro" w:hAnsi="Myriad Pro" w:cs="Times New Roman"/>
        </w:rPr>
        <w:t>. Rockville, MD: U.S. Department of Health and Human Services.  Public Health Service; 2000.</w:t>
      </w:r>
    </w:p>
    <w:p w:rsidR="002F22F3" w:rsidRDefault="002F22F3" w:rsidP="002F22F3">
      <w:pPr>
        <w:pStyle w:val="EndnoteText"/>
        <w:ind w:left="720" w:right="576"/>
        <w:rPr>
          <w:rFonts w:ascii="Myriad Pro" w:hAnsi="Myriad Pro" w:cs="Times New Roman"/>
        </w:rPr>
      </w:pPr>
    </w:p>
    <w:p w:rsidR="002F22F3" w:rsidRDefault="002F22F3" w:rsidP="002F22F3">
      <w:pPr>
        <w:pStyle w:val="FootnoteText"/>
        <w:ind w:left="720" w:right="576"/>
        <w:rPr>
          <w:rFonts w:ascii="Myriad Pro" w:hAnsi="Myriad Pro" w:cs="Times New Roman"/>
        </w:rPr>
      </w:pPr>
      <w:r>
        <w:rPr>
          <w:rStyle w:val="EndnoteReference"/>
          <w:rFonts w:ascii="Myriad Pro" w:hAnsi="Myriad Pro"/>
        </w:rPr>
        <w:t>9</w:t>
      </w:r>
      <w:r>
        <w:rPr>
          <w:rFonts w:ascii="Myriad Pro" w:hAnsi="Myriad Pro" w:cs="Times New Roman"/>
        </w:rPr>
        <w:t xml:space="preserve"> Hopkins, DP, Briss, PA, Ricard CJ, et al. </w:t>
      </w:r>
      <w:r>
        <w:rPr>
          <w:rFonts w:ascii="Myriad Pro" w:hAnsi="Myriad Pro" w:cs="Times New Roman"/>
          <w:i/>
        </w:rPr>
        <w:t>Task Force on Community Preventive Services</w:t>
      </w:r>
      <w:r>
        <w:rPr>
          <w:rFonts w:ascii="Myriad Pro" w:hAnsi="Myriad Pro" w:cs="Times New Roman"/>
        </w:rPr>
        <w:t xml:space="preserve">.  American  Journal of  Preventive Medicine 2001; 20(2 Suppl):P16-66. </w:t>
      </w:r>
    </w:p>
    <w:p w:rsidR="002F22F3" w:rsidRDefault="002F22F3" w:rsidP="002F22F3">
      <w:pPr>
        <w:pStyle w:val="FootnoteText"/>
        <w:ind w:left="720" w:right="576"/>
        <w:rPr>
          <w:rFonts w:ascii="Myriad Pro" w:hAnsi="Myriad Pro" w:cs="Times New Roman"/>
        </w:rPr>
      </w:pPr>
    </w:p>
    <w:p w:rsidR="002F22F3" w:rsidRDefault="002F22F3" w:rsidP="002F22F3">
      <w:pPr>
        <w:pStyle w:val="FootnoteText"/>
        <w:ind w:left="720" w:right="576"/>
        <w:rPr>
          <w:rFonts w:ascii="Myriad Pro" w:hAnsi="Myriad Pro" w:cs="Times New Roman"/>
        </w:rPr>
      </w:pPr>
      <w:r>
        <w:rPr>
          <w:rStyle w:val="EndnoteReference"/>
          <w:rFonts w:ascii="Myriad Pro" w:hAnsi="Myriad Pro"/>
        </w:rPr>
        <w:t>10</w:t>
      </w:r>
      <w:r>
        <w:rPr>
          <w:rFonts w:ascii="Myriad Pro" w:hAnsi="Myriad Pro" w:cs="Times New Roman"/>
        </w:rPr>
        <w:t>Cummings SR, Rubin SM, Oster G. The cost-effectiveness of counseling smokers to quit.  JAMA.. 1989 ;261 (1): 75-79.</w:t>
      </w:r>
    </w:p>
    <w:p w:rsidR="002F22F3" w:rsidRDefault="002F22F3" w:rsidP="002F22F3">
      <w:pPr>
        <w:pStyle w:val="FootnoteText"/>
        <w:ind w:left="720" w:right="576"/>
        <w:rPr>
          <w:rFonts w:ascii="Myriad Pro" w:hAnsi="Myriad Pro" w:cs="Times New Roman"/>
        </w:rPr>
      </w:pPr>
    </w:p>
    <w:p w:rsidR="002F22F3" w:rsidRDefault="002F22F3" w:rsidP="002F22F3">
      <w:pPr>
        <w:pStyle w:val="FootnoteText"/>
        <w:ind w:left="720" w:right="576"/>
        <w:rPr>
          <w:rFonts w:ascii="Myriad Pro" w:hAnsi="Myriad Pro" w:cs="Times New Roman"/>
        </w:rPr>
      </w:pPr>
      <w:r>
        <w:rPr>
          <w:rStyle w:val="EndnoteReference"/>
          <w:rFonts w:ascii="Myriad Pro" w:hAnsi="Myriad Pro"/>
        </w:rPr>
        <w:t>11</w:t>
      </w:r>
      <w:r>
        <w:rPr>
          <w:rFonts w:ascii="Myriad Pro" w:hAnsi="Myriad Pro" w:cs="Times New Roman"/>
        </w:rPr>
        <w:t xml:space="preserve">American Health Plan Insurance. </w:t>
      </w:r>
      <w:r>
        <w:rPr>
          <w:rFonts w:ascii="Myriad Pro" w:hAnsi="Myriad Pro" w:cs="Times New Roman"/>
          <w:i/>
        </w:rPr>
        <w:t>Making the Business Case for Tobacco Cessation</w:t>
      </w:r>
      <w:r>
        <w:rPr>
          <w:rFonts w:ascii="Myriad Pro" w:hAnsi="Myriad Pro" w:cs="Times New Roman"/>
        </w:rPr>
        <w:t xml:space="preserve">.  Retrieved from </w:t>
      </w:r>
      <w:hyperlink r:id="rId2" w:history="1">
        <w:r>
          <w:rPr>
            <w:rStyle w:val="Hyperlink"/>
            <w:rFonts w:ascii="Myriad Pro" w:hAnsi="Myriad Pro" w:cs="Times New Roman"/>
          </w:rPr>
          <w:t>http://www.businesscaseroi.org</w:t>
        </w:r>
      </w:hyperlink>
    </w:p>
    <w:p w:rsidR="002F22F3" w:rsidRDefault="002F22F3" w:rsidP="002F22F3">
      <w:pPr>
        <w:pStyle w:val="FootnoteText"/>
        <w:rPr>
          <w:rFonts w:ascii="Myriad Pro" w:hAnsi="Myriad Pro"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7777"/>
      <w:docPartObj>
        <w:docPartGallery w:val="Page Numbers (Bottom of Page)"/>
        <w:docPartUnique/>
      </w:docPartObj>
    </w:sdtPr>
    <w:sdtEndPr>
      <w:rPr>
        <w:noProof/>
      </w:rPr>
    </w:sdtEndPr>
    <w:sdtContent>
      <w:p w:rsidR="00CC3579" w:rsidRPr="002F22F3" w:rsidRDefault="00CC3579" w:rsidP="00CC3579">
        <w:pPr>
          <w:pStyle w:val="Footer"/>
        </w:pPr>
        <w:r w:rsidRPr="00311C2C">
          <w:rPr>
            <w:rFonts w:ascii="Myriad Pro" w:hAnsi="Myriad Pro"/>
            <w:i/>
            <w:sz w:val="18"/>
            <w:szCs w:val="18"/>
          </w:rPr>
          <w:t>This template has been produced by North American Quitline Consortium. August 2013.</w:t>
        </w:r>
        <w:r w:rsidRPr="00311C2C">
          <w:rPr>
            <w:sz w:val="18"/>
            <w:szCs w:val="18"/>
          </w:rPr>
          <w:t xml:space="preserve">   </w:t>
        </w:r>
        <w:r w:rsidRPr="00311C2C">
          <w:rPr>
            <w:sz w:val="18"/>
            <w:szCs w:val="18"/>
          </w:rPr>
          <w:br/>
        </w:r>
        <w:r w:rsidRPr="00311C2C">
          <w:rPr>
            <w:rFonts w:ascii="Myriad Pro" w:hAnsi="Myriad Pro"/>
            <w:i/>
            <w:sz w:val="18"/>
            <w:szCs w:val="18"/>
          </w:rPr>
          <w:t>This project is made possible with funding from the Office on Smoking and Health, Centers for Disease Control and Prevention, U.S. Department of Health and Human Services.</w:t>
        </w:r>
        <w:r w:rsidRPr="00311C2C">
          <w:rPr>
            <w:i/>
            <w:sz w:val="18"/>
            <w:szCs w:val="18"/>
          </w:rPr>
          <w:t xml:space="preserve"> </w:t>
        </w:r>
        <w:r>
          <w:rPr>
            <w:i/>
            <w:sz w:val="18"/>
            <w:szCs w:val="18"/>
          </w:rPr>
          <w:t xml:space="preserve">                                                                                                                                                                                                                                                         </w:t>
        </w:r>
      </w:p>
      <w:p w:rsidR="00CB75A2" w:rsidRPr="002F22F3" w:rsidRDefault="00CC3579" w:rsidP="00CC3579">
        <w:pPr>
          <w:pStyle w:val="Footer"/>
          <w:jc w:val="right"/>
        </w:pPr>
        <w:r>
          <w:fldChar w:fldCharType="begin"/>
        </w:r>
        <w:r>
          <w:instrText xml:space="preserve"> PAGE   \* MERGEFORMAT </w:instrText>
        </w:r>
        <w:r>
          <w:fldChar w:fldCharType="separate"/>
        </w:r>
        <w:r w:rsidR="000C0BE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F3" w:rsidRDefault="002F22F3">
    <w:pPr>
      <w:pStyle w:val="Footer"/>
    </w:pPr>
    <w:r w:rsidRPr="00311C2C">
      <w:rPr>
        <w:rFonts w:ascii="Myriad Pro" w:hAnsi="Myriad Pro"/>
        <w:i/>
        <w:sz w:val="18"/>
        <w:szCs w:val="18"/>
      </w:rPr>
      <w:t>This template has been produced by North American Quitline Consortium. August 2013.</w:t>
    </w:r>
    <w:r w:rsidRPr="00311C2C">
      <w:rPr>
        <w:sz w:val="18"/>
        <w:szCs w:val="18"/>
      </w:rPr>
      <w:t xml:space="preserve">   </w:t>
    </w:r>
    <w:r w:rsidRPr="00311C2C">
      <w:rPr>
        <w:sz w:val="18"/>
        <w:szCs w:val="18"/>
      </w:rPr>
      <w:br/>
    </w:r>
    <w:r w:rsidRPr="00311C2C">
      <w:rPr>
        <w:rFonts w:ascii="Myriad Pro" w:hAnsi="Myriad Pro"/>
        <w:i/>
        <w:sz w:val="18"/>
        <w:szCs w:val="18"/>
      </w:rPr>
      <w:t>This project is made possible with funding from the Office on Smoking and Health, Centers for Disease Control and Prevention, U.S. Department of Health and Human Services.</w:t>
    </w:r>
    <w:r w:rsidRPr="00311C2C">
      <w:rPr>
        <w:i/>
        <w:sz w:val="18"/>
        <w:szCs w:val="18"/>
      </w:rPr>
      <w:t xml:space="preserve"> </w:t>
    </w:r>
    <w:r>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6E" w:rsidRDefault="007E0A6E" w:rsidP="004F6ABE">
      <w:pPr>
        <w:spacing w:after="0" w:line="240" w:lineRule="auto"/>
      </w:pPr>
    </w:p>
  </w:footnote>
  <w:footnote w:type="continuationSeparator" w:id="0">
    <w:p w:rsidR="007E0A6E" w:rsidRDefault="007E0A6E" w:rsidP="004F6ABE">
      <w:pPr>
        <w:spacing w:after="0" w:line="240" w:lineRule="auto"/>
      </w:pPr>
      <w:r>
        <w:continuationSeparator/>
      </w:r>
    </w:p>
  </w:footnote>
  <w:footnote w:id="1">
    <w:p w:rsidR="002F22F3" w:rsidRDefault="002F22F3" w:rsidP="002F22F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DDD"/>
    <w:multiLevelType w:val="hybridMultilevel"/>
    <w:tmpl w:val="B5367458"/>
    <w:lvl w:ilvl="0" w:tplc="C0D649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D3D1B"/>
    <w:multiLevelType w:val="hybridMultilevel"/>
    <w:tmpl w:val="FEA84010"/>
    <w:lvl w:ilvl="0" w:tplc="C0D649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622C2"/>
    <w:multiLevelType w:val="hybridMultilevel"/>
    <w:tmpl w:val="3DB0F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5F049C1"/>
    <w:multiLevelType w:val="hybridMultilevel"/>
    <w:tmpl w:val="041A9B6C"/>
    <w:lvl w:ilvl="0" w:tplc="C0D649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8474E3"/>
    <w:multiLevelType w:val="hybridMultilevel"/>
    <w:tmpl w:val="E6A4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F7E24"/>
    <w:multiLevelType w:val="hybridMultilevel"/>
    <w:tmpl w:val="305C8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51B021F"/>
    <w:multiLevelType w:val="hybridMultilevel"/>
    <w:tmpl w:val="AC362178"/>
    <w:lvl w:ilvl="0" w:tplc="94089B0C">
      <w:start w:val="1"/>
      <w:numFmt w:val="bullet"/>
      <w:lvlText w:val=""/>
      <w:lvlJc w:val="left"/>
      <w:pPr>
        <w:tabs>
          <w:tab w:val="num" w:pos="360"/>
        </w:tabs>
        <w:ind w:left="360" w:hanging="360"/>
      </w:pPr>
      <w:rPr>
        <w:rFonts w:ascii="Symbol" w:hAnsi="Symbol" w:hint="default"/>
      </w:rPr>
    </w:lvl>
    <w:lvl w:ilvl="1" w:tplc="C0D6499A">
      <w:start w:val="1"/>
      <w:numFmt w:val="bullet"/>
      <w:lvlText w:val=""/>
      <w:lvlJc w:val="left"/>
      <w:pPr>
        <w:tabs>
          <w:tab w:val="num" w:pos="1080"/>
        </w:tabs>
        <w:ind w:left="1080" w:hanging="360"/>
      </w:pPr>
      <w:rPr>
        <w:rFonts w:ascii="Symbol" w:hAnsi="Symbol" w:hint="default"/>
      </w:rPr>
    </w:lvl>
    <w:lvl w:ilvl="2" w:tplc="00050409">
      <w:start w:val="1"/>
      <w:numFmt w:val="bullet"/>
      <w:lvlText w:val=""/>
      <w:lvlJc w:val="left"/>
      <w:pPr>
        <w:tabs>
          <w:tab w:val="num" w:pos="1800"/>
        </w:tabs>
        <w:ind w:left="1800" w:hanging="360"/>
      </w:pPr>
      <w:rPr>
        <w:rFonts w:ascii="Wingdings" w:hAnsi="Wingdings" w:hint="default"/>
      </w:rPr>
    </w:lvl>
    <w:lvl w:ilvl="3" w:tplc="C0D6499A">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6A353BBF"/>
    <w:multiLevelType w:val="hybridMultilevel"/>
    <w:tmpl w:val="9F7CEE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40E0846"/>
    <w:multiLevelType w:val="hybridMultilevel"/>
    <w:tmpl w:val="240C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5091AA6"/>
    <w:multiLevelType w:val="hybridMultilevel"/>
    <w:tmpl w:val="25DEFA02"/>
    <w:lvl w:ilvl="0" w:tplc="C0D64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37171"/>
    <w:multiLevelType w:val="hybridMultilevel"/>
    <w:tmpl w:val="B5AE7D8E"/>
    <w:lvl w:ilvl="0" w:tplc="C0D649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1"/>
  </w:num>
  <w:num w:numId="6">
    <w:abstractNumId w:val="9"/>
  </w:num>
  <w:num w:numId="7">
    <w:abstractNumId w:val="1"/>
  </w:num>
  <w:num w:numId="8">
    <w:abstractNumId w:val="6"/>
  </w:num>
  <w:num w:numId="9">
    <w:abstractNumId w:val="6"/>
  </w:num>
  <w:num w:numId="10">
    <w:abstractNumId w:val="4"/>
  </w:num>
  <w:num w:numId="11">
    <w:abstractNumId w:val="1"/>
  </w:num>
  <w:num w:numId="12">
    <w:abstractNumId w:val="8"/>
  </w:num>
  <w:num w:numId="13">
    <w:abstractNumId w:val="8"/>
  </w:num>
  <w:num w:numId="14">
    <w:abstractNumId w:val="2"/>
  </w:num>
  <w:num w:numId="15">
    <w:abstractNumId w:val="5"/>
  </w:num>
  <w:num w:numId="16">
    <w:abstractNumId w:val="7"/>
  </w:num>
  <w:num w:numId="17">
    <w:abstractNumId w:val="8"/>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B4"/>
    <w:rsid w:val="00006B82"/>
    <w:rsid w:val="0001158D"/>
    <w:rsid w:val="000125B2"/>
    <w:rsid w:val="000275DA"/>
    <w:rsid w:val="000301A8"/>
    <w:rsid w:val="00042574"/>
    <w:rsid w:val="000429DD"/>
    <w:rsid w:val="00060B1C"/>
    <w:rsid w:val="00060CA3"/>
    <w:rsid w:val="0006218A"/>
    <w:rsid w:val="00071FA8"/>
    <w:rsid w:val="00073B89"/>
    <w:rsid w:val="00077584"/>
    <w:rsid w:val="00081601"/>
    <w:rsid w:val="00081790"/>
    <w:rsid w:val="0008697B"/>
    <w:rsid w:val="000B20D7"/>
    <w:rsid w:val="000B7284"/>
    <w:rsid w:val="000C0BE8"/>
    <w:rsid w:val="000C36BE"/>
    <w:rsid w:val="000C6D1E"/>
    <w:rsid w:val="000E130F"/>
    <w:rsid w:val="000E3C0A"/>
    <w:rsid w:val="000F1007"/>
    <w:rsid w:val="000F4360"/>
    <w:rsid w:val="001015A6"/>
    <w:rsid w:val="00101C7A"/>
    <w:rsid w:val="0011020D"/>
    <w:rsid w:val="001340BA"/>
    <w:rsid w:val="001410B8"/>
    <w:rsid w:val="00144EE9"/>
    <w:rsid w:val="00150132"/>
    <w:rsid w:val="001606C6"/>
    <w:rsid w:val="0016074B"/>
    <w:rsid w:val="00161B1B"/>
    <w:rsid w:val="0016217E"/>
    <w:rsid w:val="00172E34"/>
    <w:rsid w:val="00175120"/>
    <w:rsid w:val="00180777"/>
    <w:rsid w:val="00183EC7"/>
    <w:rsid w:val="001840EF"/>
    <w:rsid w:val="00187968"/>
    <w:rsid w:val="00196BAD"/>
    <w:rsid w:val="00196D3F"/>
    <w:rsid w:val="001A14D2"/>
    <w:rsid w:val="001A2A7F"/>
    <w:rsid w:val="001A3E64"/>
    <w:rsid w:val="001B0E86"/>
    <w:rsid w:val="001B1381"/>
    <w:rsid w:val="001B7A28"/>
    <w:rsid w:val="001C10AE"/>
    <w:rsid w:val="001C21A8"/>
    <w:rsid w:val="001E4E0D"/>
    <w:rsid w:val="001E7AE8"/>
    <w:rsid w:val="001E7BF0"/>
    <w:rsid w:val="001F2241"/>
    <w:rsid w:val="00202500"/>
    <w:rsid w:val="00205614"/>
    <w:rsid w:val="00207F15"/>
    <w:rsid w:val="00214BB5"/>
    <w:rsid w:val="002157D0"/>
    <w:rsid w:val="002161ED"/>
    <w:rsid w:val="00217FDC"/>
    <w:rsid w:val="0022558D"/>
    <w:rsid w:val="00232316"/>
    <w:rsid w:val="0024550B"/>
    <w:rsid w:val="00247614"/>
    <w:rsid w:val="00247C36"/>
    <w:rsid w:val="002532AE"/>
    <w:rsid w:val="00270D57"/>
    <w:rsid w:val="002749C1"/>
    <w:rsid w:val="002807EB"/>
    <w:rsid w:val="002818A2"/>
    <w:rsid w:val="002846A3"/>
    <w:rsid w:val="002A45E2"/>
    <w:rsid w:val="002A747B"/>
    <w:rsid w:val="002B2588"/>
    <w:rsid w:val="002B5AA5"/>
    <w:rsid w:val="002B71A8"/>
    <w:rsid w:val="002C06DD"/>
    <w:rsid w:val="002D2F21"/>
    <w:rsid w:val="002E0719"/>
    <w:rsid w:val="002F13A0"/>
    <w:rsid w:val="002F22F3"/>
    <w:rsid w:val="003070F9"/>
    <w:rsid w:val="00310FC5"/>
    <w:rsid w:val="0033181A"/>
    <w:rsid w:val="00344B09"/>
    <w:rsid w:val="00345D3C"/>
    <w:rsid w:val="003473C9"/>
    <w:rsid w:val="00352043"/>
    <w:rsid w:val="00371CCD"/>
    <w:rsid w:val="00383746"/>
    <w:rsid w:val="0038580B"/>
    <w:rsid w:val="003859CB"/>
    <w:rsid w:val="003872D0"/>
    <w:rsid w:val="00392AD6"/>
    <w:rsid w:val="003952FA"/>
    <w:rsid w:val="0039612B"/>
    <w:rsid w:val="003A4BB6"/>
    <w:rsid w:val="003A623E"/>
    <w:rsid w:val="003B40FD"/>
    <w:rsid w:val="003C1D50"/>
    <w:rsid w:val="003D2DD0"/>
    <w:rsid w:val="003F024E"/>
    <w:rsid w:val="003F1EB7"/>
    <w:rsid w:val="003F333C"/>
    <w:rsid w:val="00407963"/>
    <w:rsid w:val="004161EE"/>
    <w:rsid w:val="00427EA7"/>
    <w:rsid w:val="004305A1"/>
    <w:rsid w:val="004306F7"/>
    <w:rsid w:val="00430E40"/>
    <w:rsid w:val="00431390"/>
    <w:rsid w:val="00434CCE"/>
    <w:rsid w:val="00437355"/>
    <w:rsid w:val="00440677"/>
    <w:rsid w:val="00460C47"/>
    <w:rsid w:val="00462276"/>
    <w:rsid w:val="004627E8"/>
    <w:rsid w:val="00475675"/>
    <w:rsid w:val="00485A49"/>
    <w:rsid w:val="00487AE8"/>
    <w:rsid w:val="00495755"/>
    <w:rsid w:val="004C4D95"/>
    <w:rsid w:val="004C62B7"/>
    <w:rsid w:val="004D4D88"/>
    <w:rsid w:val="004F56E9"/>
    <w:rsid w:val="004F6ABE"/>
    <w:rsid w:val="004F6EBA"/>
    <w:rsid w:val="004F6FDB"/>
    <w:rsid w:val="0050217C"/>
    <w:rsid w:val="00502B26"/>
    <w:rsid w:val="005043E9"/>
    <w:rsid w:val="005059E5"/>
    <w:rsid w:val="00507724"/>
    <w:rsid w:val="0051038C"/>
    <w:rsid w:val="00512408"/>
    <w:rsid w:val="00513A83"/>
    <w:rsid w:val="005169AD"/>
    <w:rsid w:val="0052620B"/>
    <w:rsid w:val="00534926"/>
    <w:rsid w:val="005414F8"/>
    <w:rsid w:val="00541922"/>
    <w:rsid w:val="00544C3A"/>
    <w:rsid w:val="00551017"/>
    <w:rsid w:val="005521AA"/>
    <w:rsid w:val="005524E6"/>
    <w:rsid w:val="00557F34"/>
    <w:rsid w:val="00562324"/>
    <w:rsid w:val="00564236"/>
    <w:rsid w:val="005739D6"/>
    <w:rsid w:val="0057779F"/>
    <w:rsid w:val="00585480"/>
    <w:rsid w:val="00585D18"/>
    <w:rsid w:val="00592579"/>
    <w:rsid w:val="00594753"/>
    <w:rsid w:val="005962C9"/>
    <w:rsid w:val="005A6150"/>
    <w:rsid w:val="005B3418"/>
    <w:rsid w:val="005B3F8C"/>
    <w:rsid w:val="005C0259"/>
    <w:rsid w:val="005C085B"/>
    <w:rsid w:val="005C0B22"/>
    <w:rsid w:val="005C1CDF"/>
    <w:rsid w:val="005C31C8"/>
    <w:rsid w:val="005D2821"/>
    <w:rsid w:val="005E1C69"/>
    <w:rsid w:val="005E3130"/>
    <w:rsid w:val="005F0BCB"/>
    <w:rsid w:val="005F6441"/>
    <w:rsid w:val="005F7C2A"/>
    <w:rsid w:val="00600ADE"/>
    <w:rsid w:val="006143FC"/>
    <w:rsid w:val="00615326"/>
    <w:rsid w:val="00625411"/>
    <w:rsid w:val="00627A46"/>
    <w:rsid w:val="00632A9D"/>
    <w:rsid w:val="00650CA4"/>
    <w:rsid w:val="006533A4"/>
    <w:rsid w:val="00657AF6"/>
    <w:rsid w:val="00664D5F"/>
    <w:rsid w:val="006651BA"/>
    <w:rsid w:val="006701A3"/>
    <w:rsid w:val="00673880"/>
    <w:rsid w:val="00676BDD"/>
    <w:rsid w:val="00681746"/>
    <w:rsid w:val="00684572"/>
    <w:rsid w:val="006907C6"/>
    <w:rsid w:val="00690F49"/>
    <w:rsid w:val="00692BE8"/>
    <w:rsid w:val="00693620"/>
    <w:rsid w:val="00697E4C"/>
    <w:rsid w:val="006A08E9"/>
    <w:rsid w:val="006A372C"/>
    <w:rsid w:val="006A3E72"/>
    <w:rsid w:val="006C189F"/>
    <w:rsid w:val="006D7F6E"/>
    <w:rsid w:val="006E13AE"/>
    <w:rsid w:val="006E6B64"/>
    <w:rsid w:val="006E74B2"/>
    <w:rsid w:val="006E7D42"/>
    <w:rsid w:val="006F0F11"/>
    <w:rsid w:val="00701574"/>
    <w:rsid w:val="00705C73"/>
    <w:rsid w:val="007070A2"/>
    <w:rsid w:val="00714D57"/>
    <w:rsid w:val="00716F58"/>
    <w:rsid w:val="00726E8F"/>
    <w:rsid w:val="00740F44"/>
    <w:rsid w:val="007522CD"/>
    <w:rsid w:val="00756AB4"/>
    <w:rsid w:val="00756F1B"/>
    <w:rsid w:val="0077264C"/>
    <w:rsid w:val="0077480A"/>
    <w:rsid w:val="00777464"/>
    <w:rsid w:val="00781024"/>
    <w:rsid w:val="007930AC"/>
    <w:rsid w:val="007962AD"/>
    <w:rsid w:val="007A41E0"/>
    <w:rsid w:val="007A67FC"/>
    <w:rsid w:val="007B2313"/>
    <w:rsid w:val="007B4B25"/>
    <w:rsid w:val="007B7C48"/>
    <w:rsid w:val="007C122D"/>
    <w:rsid w:val="007C1660"/>
    <w:rsid w:val="007C5501"/>
    <w:rsid w:val="007D17F0"/>
    <w:rsid w:val="007D194B"/>
    <w:rsid w:val="007D54D2"/>
    <w:rsid w:val="007D57D0"/>
    <w:rsid w:val="007D6AC2"/>
    <w:rsid w:val="007E0A6E"/>
    <w:rsid w:val="007E2065"/>
    <w:rsid w:val="007E2214"/>
    <w:rsid w:val="007E4304"/>
    <w:rsid w:val="007F2A15"/>
    <w:rsid w:val="007F5F7F"/>
    <w:rsid w:val="00817FAA"/>
    <w:rsid w:val="00822B40"/>
    <w:rsid w:val="00842C41"/>
    <w:rsid w:val="008439F5"/>
    <w:rsid w:val="00846A10"/>
    <w:rsid w:val="0085656C"/>
    <w:rsid w:val="00856EAE"/>
    <w:rsid w:val="00863CDA"/>
    <w:rsid w:val="00866E91"/>
    <w:rsid w:val="008724AE"/>
    <w:rsid w:val="008850DC"/>
    <w:rsid w:val="00886F97"/>
    <w:rsid w:val="00887123"/>
    <w:rsid w:val="008919A2"/>
    <w:rsid w:val="0089489B"/>
    <w:rsid w:val="0089577A"/>
    <w:rsid w:val="008A0FF9"/>
    <w:rsid w:val="008A483E"/>
    <w:rsid w:val="008A55EF"/>
    <w:rsid w:val="008A5ADF"/>
    <w:rsid w:val="008A5E4E"/>
    <w:rsid w:val="008A7FCE"/>
    <w:rsid w:val="008B5374"/>
    <w:rsid w:val="008B59D5"/>
    <w:rsid w:val="008B6329"/>
    <w:rsid w:val="008C0432"/>
    <w:rsid w:val="008D427A"/>
    <w:rsid w:val="008D4863"/>
    <w:rsid w:val="008D4A70"/>
    <w:rsid w:val="008D6A2E"/>
    <w:rsid w:val="008E1D04"/>
    <w:rsid w:val="008E1FC4"/>
    <w:rsid w:val="008E4FAC"/>
    <w:rsid w:val="008F4CEE"/>
    <w:rsid w:val="008F5248"/>
    <w:rsid w:val="008F7B5E"/>
    <w:rsid w:val="00901BDF"/>
    <w:rsid w:val="009143D3"/>
    <w:rsid w:val="00942B77"/>
    <w:rsid w:val="00946DF1"/>
    <w:rsid w:val="00954D61"/>
    <w:rsid w:val="009610B2"/>
    <w:rsid w:val="00975B67"/>
    <w:rsid w:val="00980600"/>
    <w:rsid w:val="0098372A"/>
    <w:rsid w:val="009902FC"/>
    <w:rsid w:val="00994C8C"/>
    <w:rsid w:val="009A1FB0"/>
    <w:rsid w:val="009A4930"/>
    <w:rsid w:val="009B5DA8"/>
    <w:rsid w:val="009B7A78"/>
    <w:rsid w:val="009C093B"/>
    <w:rsid w:val="009C107B"/>
    <w:rsid w:val="009C2A9C"/>
    <w:rsid w:val="009C438C"/>
    <w:rsid w:val="009C4DE9"/>
    <w:rsid w:val="009C50AC"/>
    <w:rsid w:val="009E17FE"/>
    <w:rsid w:val="009E76E5"/>
    <w:rsid w:val="009F6CA0"/>
    <w:rsid w:val="00A2795D"/>
    <w:rsid w:val="00A33A12"/>
    <w:rsid w:val="00A33F54"/>
    <w:rsid w:val="00A359B8"/>
    <w:rsid w:val="00A4733E"/>
    <w:rsid w:val="00A50F0C"/>
    <w:rsid w:val="00A55643"/>
    <w:rsid w:val="00A578FA"/>
    <w:rsid w:val="00A64D6B"/>
    <w:rsid w:val="00A65534"/>
    <w:rsid w:val="00A70E2C"/>
    <w:rsid w:val="00A72CF6"/>
    <w:rsid w:val="00A7729F"/>
    <w:rsid w:val="00A81AC5"/>
    <w:rsid w:val="00A84E28"/>
    <w:rsid w:val="00A9449E"/>
    <w:rsid w:val="00AA651D"/>
    <w:rsid w:val="00AB22F4"/>
    <w:rsid w:val="00AB5331"/>
    <w:rsid w:val="00AB6684"/>
    <w:rsid w:val="00AE1D74"/>
    <w:rsid w:val="00AE5023"/>
    <w:rsid w:val="00AE71F1"/>
    <w:rsid w:val="00B02E09"/>
    <w:rsid w:val="00B035C8"/>
    <w:rsid w:val="00B0377A"/>
    <w:rsid w:val="00B04569"/>
    <w:rsid w:val="00B051C4"/>
    <w:rsid w:val="00B16E4A"/>
    <w:rsid w:val="00B173D3"/>
    <w:rsid w:val="00B21126"/>
    <w:rsid w:val="00B23AB4"/>
    <w:rsid w:val="00B24B4F"/>
    <w:rsid w:val="00B31042"/>
    <w:rsid w:val="00B315D8"/>
    <w:rsid w:val="00B323F4"/>
    <w:rsid w:val="00B34B2D"/>
    <w:rsid w:val="00B36A48"/>
    <w:rsid w:val="00B3704C"/>
    <w:rsid w:val="00B45162"/>
    <w:rsid w:val="00B479A1"/>
    <w:rsid w:val="00B53D78"/>
    <w:rsid w:val="00B72EBB"/>
    <w:rsid w:val="00B812F2"/>
    <w:rsid w:val="00B83024"/>
    <w:rsid w:val="00B871A3"/>
    <w:rsid w:val="00B9070A"/>
    <w:rsid w:val="00B9408B"/>
    <w:rsid w:val="00B979D7"/>
    <w:rsid w:val="00BA2BBC"/>
    <w:rsid w:val="00BA5CE8"/>
    <w:rsid w:val="00BB6D4B"/>
    <w:rsid w:val="00BC5FCA"/>
    <w:rsid w:val="00BC7863"/>
    <w:rsid w:val="00BD43FD"/>
    <w:rsid w:val="00BF3906"/>
    <w:rsid w:val="00C047A8"/>
    <w:rsid w:val="00C07E7F"/>
    <w:rsid w:val="00C12088"/>
    <w:rsid w:val="00C27332"/>
    <w:rsid w:val="00C30E6D"/>
    <w:rsid w:val="00C3372C"/>
    <w:rsid w:val="00C51D11"/>
    <w:rsid w:val="00C52E4C"/>
    <w:rsid w:val="00C53306"/>
    <w:rsid w:val="00C55D54"/>
    <w:rsid w:val="00C6194C"/>
    <w:rsid w:val="00C62BCD"/>
    <w:rsid w:val="00C6459F"/>
    <w:rsid w:val="00C67960"/>
    <w:rsid w:val="00C707B4"/>
    <w:rsid w:val="00C92EE0"/>
    <w:rsid w:val="00C966F8"/>
    <w:rsid w:val="00C97CBC"/>
    <w:rsid w:val="00CA1BD2"/>
    <w:rsid w:val="00CA286A"/>
    <w:rsid w:val="00CA62B2"/>
    <w:rsid w:val="00CB18B6"/>
    <w:rsid w:val="00CB75A2"/>
    <w:rsid w:val="00CC3579"/>
    <w:rsid w:val="00CC5A76"/>
    <w:rsid w:val="00CD0AAF"/>
    <w:rsid w:val="00CD361D"/>
    <w:rsid w:val="00CE46F0"/>
    <w:rsid w:val="00CF07BA"/>
    <w:rsid w:val="00CF6D40"/>
    <w:rsid w:val="00CF6FCC"/>
    <w:rsid w:val="00CF7E80"/>
    <w:rsid w:val="00D029A4"/>
    <w:rsid w:val="00D059AC"/>
    <w:rsid w:val="00D114C4"/>
    <w:rsid w:val="00D16E2C"/>
    <w:rsid w:val="00D335AE"/>
    <w:rsid w:val="00D44F8A"/>
    <w:rsid w:val="00D45633"/>
    <w:rsid w:val="00D4793F"/>
    <w:rsid w:val="00D5114C"/>
    <w:rsid w:val="00D607FE"/>
    <w:rsid w:val="00D651CF"/>
    <w:rsid w:val="00D663D6"/>
    <w:rsid w:val="00D7181D"/>
    <w:rsid w:val="00D7699A"/>
    <w:rsid w:val="00D83A5E"/>
    <w:rsid w:val="00D90C4F"/>
    <w:rsid w:val="00D95FE6"/>
    <w:rsid w:val="00DA1507"/>
    <w:rsid w:val="00DA1615"/>
    <w:rsid w:val="00DA672F"/>
    <w:rsid w:val="00DB036E"/>
    <w:rsid w:val="00DB1328"/>
    <w:rsid w:val="00DB26A4"/>
    <w:rsid w:val="00DB733D"/>
    <w:rsid w:val="00DB7FE5"/>
    <w:rsid w:val="00DC0AA2"/>
    <w:rsid w:val="00DD25AB"/>
    <w:rsid w:val="00DD5406"/>
    <w:rsid w:val="00DE3864"/>
    <w:rsid w:val="00DE3EF4"/>
    <w:rsid w:val="00DE6630"/>
    <w:rsid w:val="00DF092B"/>
    <w:rsid w:val="00DF4166"/>
    <w:rsid w:val="00DF740A"/>
    <w:rsid w:val="00DF7445"/>
    <w:rsid w:val="00DF7CF6"/>
    <w:rsid w:val="00E028E0"/>
    <w:rsid w:val="00E04368"/>
    <w:rsid w:val="00E10813"/>
    <w:rsid w:val="00E2044D"/>
    <w:rsid w:val="00E21925"/>
    <w:rsid w:val="00E21AAC"/>
    <w:rsid w:val="00E31ECF"/>
    <w:rsid w:val="00E332A1"/>
    <w:rsid w:val="00E372E0"/>
    <w:rsid w:val="00E37EBA"/>
    <w:rsid w:val="00E535E5"/>
    <w:rsid w:val="00E764D1"/>
    <w:rsid w:val="00E77552"/>
    <w:rsid w:val="00E81DD2"/>
    <w:rsid w:val="00E842C0"/>
    <w:rsid w:val="00E85171"/>
    <w:rsid w:val="00E85B79"/>
    <w:rsid w:val="00E86D70"/>
    <w:rsid w:val="00E9153E"/>
    <w:rsid w:val="00E9709A"/>
    <w:rsid w:val="00EA3A24"/>
    <w:rsid w:val="00EB4886"/>
    <w:rsid w:val="00EC35E9"/>
    <w:rsid w:val="00EC527A"/>
    <w:rsid w:val="00ED1520"/>
    <w:rsid w:val="00ED4A24"/>
    <w:rsid w:val="00EE2DC2"/>
    <w:rsid w:val="00EE464A"/>
    <w:rsid w:val="00EE548C"/>
    <w:rsid w:val="00EF2E89"/>
    <w:rsid w:val="00EF60B4"/>
    <w:rsid w:val="00EF6FD5"/>
    <w:rsid w:val="00F0091B"/>
    <w:rsid w:val="00F02DE3"/>
    <w:rsid w:val="00F12622"/>
    <w:rsid w:val="00F13F54"/>
    <w:rsid w:val="00F14D3A"/>
    <w:rsid w:val="00F15CA4"/>
    <w:rsid w:val="00F21458"/>
    <w:rsid w:val="00F25C6A"/>
    <w:rsid w:val="00F306E9"/>
    <w:rsid w:val="00F32A0E"/>
    <w:rsid w:val="00F36DC3"/>
    <w:rsid w:val="00F373F0"/>
    <w:rsid w:val="00F40B26"/>
    <w:rsid w:val="00F44697"/>
    <w:rsid w:val="00F44A46"/>
    <w:rsid w:val="00F459FA"/>
    <w:rsid w:val="00F511E1"/>
    <w:rsid w:val="00F51ED6"/>
    <w:rsid w:val="00F616B9"/>
    <w:rsid w:val="00F65010"/>
    <w:rsid w:val="00F65EF8"/>
    <w:rsid w:val="00F736CF"/>
    <w:rsid w:val="00F777B7"/>
    <w:rsid w:val="00F806F4"/>
    <w:rsid w:val="00F86700"/>
    <w:rsid w:val="00F92DE1"/>
    <w:rsid w:val="00FA09AC"/>
    <w:rsid w:val="00FA5F8C"/>
    <w:rsid w:val="00FB0299"/>
    <w:rsid w:val="00FC2B73"/>
    <w:rsid w:val="00FC2DF9"/>
    <w:rsid w:val="00FC46AE"/>
    <w:rsid w:val="00FC5816"/>
    <w:rsid w:val="00FD22DB"/>
    <w:rsid w:val="00FE33B4"/>
    <w:rsid w:val="00FF2A81"/>
    <w:rsid w:val="00FF42CC"/>
    <w:rsid w:val="00FF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B4"/>
    <w:rPr>
      <w:rFonts w:ascii="Tahoma" w:hAnsi="Tahoma" w:cs="Tahoma"/>
      <w:sz w:val="16"/>
      <w:szCs w:val="16"/>
    </w:rPr>
  </w:style>
  <w:style w:type="table" w:styleId="TableGrid">
    <w:name w:val="Table Grid"/>
    <w:basedOn w:val="TableNormal"/>
    <w:uiPriority w:val="59"/>
    <w:rsid w:val="00EF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507"/>
    <w:pPr>
      <w:ind w:left="720"/>
      <w:contextualSpacing/>
    </w:pPr>
  </w:style>
  <w:style w:type="character" w:styleId="Hyperlink">
    <w:name w:val="Hyperlink"/>
    <w:rsid w:val="00DA1507"/>
    <w:rPr>
      <w:color w:val="0000FF"/>
      <w:u w:val="single"/>
    </w:rPr>
  </w:style>
  <w:style w:type="paragraph" w:styleId="Header">
    <w:name w:val="header"/>
    <w:basedOn w:val="Normal"/>
    <w:link w:val="HeaderChar"/>
    <w:uiPriority w:val="99"/>
    <w:unhideWhenUsed/>
    <w:rsid w:val="004F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ABE"/>
  </w:style>
  <w:style w:type="paragraph" w:styleId="Footer">
    <w:name w:val="footer"/>
    <w:basedOn w:val="Normal"/>
    <w:link w:val="FooterChar"/>
    <w:uiPriority w:val="99"/>
    <w:unhideWhenUsed/>
    <w:rsid w:val="004F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ABE"/>
  </w:style>
  <w:style w:type="paragraph" w:styleId="FootnoteText">
    <w:name w:val="footnote text"/>
    <w:basedOn w:val="Normal"/>
    <w:link w:val="FootnoteTextChar"/>
    <w:uiPriority w:val="99"/>
    <w:unhideWhenUsed/>
    <w:rsid w:val="005043E9"/>
    <w:pPr>
      <w:spacing w:after="0" w:line="240" w:lineRule="auto"/>
    </w:pPr>
    <w:rPr>
      <w:sz w:val="20"/>
      <w:szCs w:val="20"/>
    </w:rPr>
  </w:style>
  <w:style w:type="character" w:customStyle="1" w:styleId="FootnoteTextChar">
    <w:name w:val="Footnote Text Char"/>
    <w:basedOn w:val="DefaultParagraphFont"/>
    <w:link w:val="FootnoteText"/>
    <w:uiPriority w:val="99"/>
    <w:rsid w:val="005043E9"/>
    <w:rPr>
      <w:sz w:val="20"/>
      <w:szCs w:val="20"/>
    </w:rPr>
  </w:style>
  <w:style w:type="character" w:styleId="FootnoteReference">
    <w:name w:val="footnote reference"/>
    <w:basedOn w:val="DefaultParagraphFont"/>
    <w:uiPriority w:val="99"/>
    <w:semiHidden/>
    <w:unhideWhenUsed/>
    <w:rsid w:val="005043E9"/>
    <w:rPr>
      <w:vertAlign w:val="superscript"/>
    </w:rPr>
  </w:style>
  <w:style w:type="paragraph" w:styleId="NoSpacing">
    <w:name w:val="No Spacing"/>
    <w:uiPriority w:val="1"/>
    <w:qFormat/>
    <w:rsid w:val="005043E9"/>
    <w:pPr>
      <w:spacing w:after="0" w:line="240" w:lineRule="auto"/>
    </w:pPr>
  </w:style>
  <w:style w:type="paragraph" w:styleId="EndnoteText">
    <w:name w:val="endnote text"/>
    <w:basedOn w:val="Normal"/>
    <w:link w:val="EndnoteTextChar"/>
    <w:uiPriority w:val="99"/>
    <w:semiHidden/>
    <w:unhideWhenUsed/>
    <w:rsid w:val="005043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3E9"/>
    <w:rPr>
      <w:sz w:val="20"/>
      <w:szCs w:val="20"/>
    </w:rPr>
  </w:style>
  <w:style w:type="character" w:styleId="EndnoteReference">
    <w:name w:val="endnote reference"/>
    <w:basedOn w:val="DefaultParagraphFont"/>
    <w:uiPriority w:val="99"/>
    <w:semiHidden/>
    <w:unhideWhenUsed/>
    <w:rsid w:val="005043E9"/>
    <w:rPr>
      <w:vertAlign w:val="superscript"/>
    </w:rPr>
  </w:style>
  <w:style w:type="paragraph" w:styleId="CommentText">
    <w:name w:val="annotation text"/>
    <w:basedOn w:val="Normal"/>
    <w:link w:val="CommentTextChar"/>
    <w:uiPriority w:val="99"/>
    <w:semiHidden/>
    <w:unhideWhenUsed/>
    <w:rsid w:val="005043E9"/>
    <w:pPr>
      <w:spacing w:line="240" w:lineRule="auto"/>
    </w:pPr>
    <w:rPr>
      <w:sz w:val="20"/>
      <w:szCs w:val="20"/>
    </w:rPr>
  </w:style>
  <w:style w:type="character" w:customStyle="1" w:styleId="CommentTextChar">
    <w:name w:val="Comment Text Char"/>
    <w:basedOn w:val="DefaultParagraphFont"/>
    <w:link w:val="CommentText"/>
    <w:uiPriority w:val="99"/>
    <w:semiHidden/>
    <w:rsid w:val="005043E9"/>
    <w:rPr>
      <w:sz w:val="20"/>
      <w:szCs w:val="20"/>
    </w:rPr>
  </w:style>
  <w:style w:type="character" w:styleId="CommentReference">
    <w:name w:val="annotation reference"/>
    <w:basedOn w:val="DefaultParagraphFont"/>
    <w:uiPriority w:val="99"/>
    <w:semiHidden/>
    <w:unhideWhenUsed/>
    <w:rsid w:val="005043E9"/>
    <w:rPr>
      <w:sz w:val="16"/>
      <w:szCs w:val="16"/>
    </w:rPr>
  </w:style>
  <w:style w:type="character" w:styleId="PlaceholderText">
    <w:name w:val="Placeholder Text"/>
    <w:basedOn w:val="DefaultParagraphFont"/>
    <w:uiPriority w:val="99"/>
    <w:semiHidden/>
    <w:rsid w:val="002F22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B4"/>
    <w:rPr>
      <w:rFonts w:ascii="Tahoma" w:hAnsi="Tahoma" w:cs="Tahoma"/>
      <w:sz w:val="16"/>
      <w:szCs w:val="16"/>
    </w:rPr>
  </w:style>
  <w:style w:type="table" w:styleId="TableGrid">
    <w:name w:val="Table Grid"/>
    <w:basedOn w:val="TableNormal"/>
    <w:uiPriority w:val="59"/>
    <w:rsid w:val="00EF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507"/>
    <w:pPr>
      <w:ind w:left="720"/>
      <w:contextualSpacing/>
    </w:pPr>
  </w:style>
  <w:style w:type="character" w:styleId="Hyperlink">
    <w:name w:val="Hyperlink"/>
    <w:rsid w:val="00DA1507"/>
    <w:rPr>
      <w:color w:val="0000FF"/>
      <w:u w:val="single"/>
    </w:rPr>
  </w:style>
  <w:style w:type="paragraph" w:styleId="Header">
    <w:name w:val="header"/>
    <w:basedOn w:val="Normal"/>
    <w:link w:val="HeaderChar"/>
    <w:uiPriority w:val="99"/>
    <w:unhideWhenUsed/>
    <w:rsid w:val="004F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ABE"/>
  </w:style>
  <w:style w:type="paragraph" w:styleId="Footer">
    <w:name w:val="footer"/>
    <w:basedOn w:val="Normal"/>
    <w:link w:val="FooterChar"/>
    <w:uiPriority w:val="99"/>
    <w:unhideWhenUsed/>
    <w:rsid w:val="004F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ABE"/>
  </w:style>
  <w:style w:type="paragraph" w:styleId="FootnoteText">
    <w:name w:val="footnote text"/>
    <w:basedOn w:val="Normal"/>
    <w:link w:val="FootnoteTextChar"/>
    <w:uiPriority w:val="99"/>
    <w:unhideWhenUsed/>
    <w:rsid w:val="005043E9"/>
    <w:pPr>
      <w:spacing w:after="0" w:line="240" w:lineRule="auto"/>
    </w:pPr>
    <w:rPr>
      <w:sz w:val="20"/>
      <w:szCs w:val="20"/>
    </w:rPr>
  </w:style>
  <w:style w:type="character" w:customStyle="1" w:styleId="FootnoteTextChar">
    <w:name w:val="Footnote Text Char"/>
    <w:basedOn w:val="DefaultParagraphFont"/>
    <w:link w:val="FootnoteText"/>
    <w:uiPriority w:val="99"/>
    <w:rsid w:val="005043E9"/>
    <w:rPr>
      <w:sz w:val="20"/>
      <w:szCs w:val="20"/>
    </w:rPr>
  </w:style>
  <w:style w:type="character" w:styleId="FootnoteReference">
    <w:name w:val="footnote reference"/>
    <w:basedOn w:val="DefaultParagraphFont"/>
    <w:uiPriority w:val="99"/>
    <w:semiHidden/>
    <w:unhideWhenUsed/>
    <w:rsid w:val="005043E9"/>
    <w:rPr>
      <w:vertAlign w:val="superscript"/>
    </w:rPr>
  </w:style>
  <w:style w:type="paragraph" w:styleId="NoSpacing">
    <w:name w:val="No Spacing"/>
    <w:uiPriority w:val="1"/>
    <w:qFormat/>
    <w:rsid w:val="005043E9"/>
    <w:pPr>
      <w:spacing w:after="0" w:line="240" w:lineRule="auto"/>
    </w:pPr>
  </w:style>
  <w:style w:type="paragraph" w:styleId="EndnoteText">
    <w:name w:val="endnote text"/>
    <w:basedOn w:val="Normal"/>
    <w:link w:val="EndnoteTextChar"/>
    <w:uiPriority w:val="99"/>
    <w:semiHidden/>
    <w:unhideWhenUsed/>
    <w:rsid w:val="005043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3E9"/>
    <w:rPr>
      <w:sz w:val="20"/>
      <w:szCs w:val="20"/>
    </w:rPr>
  </w:style>
  <w:style w:type="character" w:styleId="EndnoteReference">
    <w:name w:val="endnote reference"/>
    <w:basedOn w:val="DefaultParagraphFont"/>
    <w:uiPriority w:val="99"/>
    <w:semiHidden/>
    <w:unhideWhenUsed/>
    <w:rsid w:val="005043E9"/>
    <w:rPr>
      <w:vertAlign w:val="superscript"/>
    </w:rPr>
  </w:style>
  <w:style w:type="paragraph" w:styleId="CommentText">
    <w:name w:val="annotation text"/>
    <w:basedOn w:val="Normal"/>
    <w:link w:val="CommentTextChar"/>
    <w:uiPriority w:val="99"/>
    <w:semiHidden/>
    <w:unhideWhenUsed/>
    <w:rsid w:val="005043E9"/>
    <w:pPr>
      <w:spacing w:line="240" w:lineRule="auto"/>
    </w:pPr>
    <w:rPr>
      <w:sz w:val="20"/>
      <w:szCs w:val="20"/>
    </w:rPr>
  </w:style>
  <w:style w:type="character" w:customStyle="1" w:styleId="CommentTextChar">
    <w:name w:val="Comment Text Char"/>
    <w:basedOn w:val="DefaultParagraphFont"/>
    <w:link w:val="CommentText"/>
    <w:uiPriority w:val="99"/>
    <w:semiHidden/>
    <w:rsid w:val="005043E9"/>
    <w:rPr>
      <w:sz w:val="20"/>
      <w:szCs w:val="20"/>
    </w:rPr>
  </w:style>
  <w:style w:type="character" w:styleId="CommentReference">
    <w:name w:val="annotation reference"/>
    <w:basedOn w:val="DefaultParagraphFont"/>
    <w:uiPriority w:val="99"/>
    <w:semiHidden/>
    <w:unhideWhenUsed/>
    <w:rsid w:val="005043E9"/>
    <w:rPr>
      <w:sz w:val="16"/>
      <w:szCs w:val="16"/>
    </w:rPr>
  </w:style>
  <w:style w:type="character" w:styleId="PlaceholderText">
    <w:name w:val="Placeholder Text"/>
    <w:basedOn w:val="DefaultParagraphFont"/>
    <w:uiPriority w:val="99"/>
    <w:semiHidden/>
    <w:rsid w:val="002F22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584">
      <w:bodyDiv w:val="1"/>
      <w:marLeft w:val="0"/>
      <w:marRight w:val="0"/>
      <w:marTop w:val="0"/>
      <w:marBottom w:val="0"/>
      <w:divBdr>
        <w:top w:val="none" w:sz="0" w:space="0" w:color="auto"/>
        <w:left w:val="none" w:sz="0" w:space="0" w:color="auto"/>
        <w:bottom w:val="none" w:sz="0" w:space="0" w:color="auto"/>
        <w:right w:val="none" w:sz="0" w:space="0" w:color="auto"/>
      </w:divBdr>
    </w:div>
    <w:div w:id="236402522">
      <w:bodyDiv w:val="1"/>
      <w:marLeft w:val="0"/>
      <w:marRight w:val="0"/>
      <w:marTop w:val="0"/>
      <w:marBottom w:val="0"/>
      <w:divBdr>
        <w:top w:val="none" w:sz="0" w:space="0" w:color="auto"/>
        <w:left w:val="none" w:sz="0" w:space="0" w:color="auto"/>
        <w:bottom w:val="none" w:sz="0" w:space="0" w:color="auto"/>
        <w:right w:val="none" w:sz="0" w:space="0" w:color="auto"/>
      </w:divBdr>
      <w:divsChild>
        <w:div w:id="1891265671">
          <w:marLeft w:val="0"/>
          <w:marRight w:val="0"/>
          <w:marTop w:val="0"/>
          <w:marBottom w:val="0"/>
          <w:divBdr>
            <w:top w:val="none" w:sz="0" w:space="0" w:color="auto"/>
            <w:left w:val="none" w:sz="0" w:space="0" w:color="auto"/>
            <w:bottom w:val="none" w:sz="0" w:space="0" w:color="auto"/>
            <w:right w:val="none" w:sz="0" w:space="0" w:color="auto"/>
          </w:divBdr>
          <w:divsChild>
            <w:div w:id="1786776853">
              <w:marLeft w:val="300"/>
              <w:marRight w:val="225"/>
              <w:marTop w:val="225"/>
              <w:marBottom w:val="0"/>
              <w:divBdr>
                <w:top w:val="none" w:sz="0" w:space="0" w:color="auto"/>
                <w:left w:val="none" w:sz="0" w:space="0" w:color="auto"/>
                <w:bottom w:val="none" w:sz="0" w:space="0" w:color="auto"/>
                <w:right w:val="none" w:sz="0" w:space="0" w:color="auto"/>
              </w:divBdr>
              <w:divsChild>
                <w:div w:id="1404792144">
                  <w:marLeft w:val="0"/>
                  <w:marRight w:val="0"/>
                  <w:marTop w:val="0"/>
                  <w:marBottom w:val="0"/>
                  <w:divBdr>
                    <w:top w:val="none" w:sz="0" w:space="0" w:color="auto"/>
                    <w:left w:val="none" w:sz="0" w:space="0" w:color="auto"/>
                    <w:bottom w:val="none" w:sz="0" w:space="0" w:color="auto"/>
                    <w:right w:val="none" w:sz="0" w:space="0" w:color="auto"/>
                  </w:divBdr>
                  <w:divsChild>
                    <w:div w:id="808980974">
                      <w:marLeft w:val="0"/>
                      <w:marRight w:val="0"/>
                      <w:marTop w:val="0"/>
                      <w:marBottom w:val="450"/>
                      <w:divBdr>
                        <w:top w:val="none" w:sz="0" w:space="0" w:color="auto"/>
                        <w:left w:val="none" w:sz="0" w:space="0" w:color="auto"/>
                        <w:bottom w:val="none" w:sz="0" w:space="0" w:color="auto"/>
                        <w:right w:val="none" w:sz="0" w:space="0" w:color="auto"/>
                      </w:divBdr>
                      <w:divsChild>
                        <w:div w:id="868763891">
                          <w:marLeft w:val="0"/>
                          <w:marRight w:val="0"/>
                          <w:marTop w:val="0"/>
                          <w:marBottom w:val="0"/>
                          <w:divBdr>
                            <w:top w:val="none" w:sz="0" w:space="0" w:color="auto"/>
                            <w:left w:val="none" w:sz="0" w:space="0" w:color="auto"/>
                            <w:bottom w:val="none" w:sz="0" w:space="0" w:color="auto"/>
                            <w:right w:val="none" w:sz="0" w:space="0" w:color="auto"/>
                          </w:divBdr>
                          <w:divsChild>
                            <w:div w:id="1961918134">
                              <w:marLeft w:val="0"/>
                              <w:marRight w:val="60"/>
                              <w:marTop w:val="0"/>
                              <w:marBottom w:val="0"/>
                              <w:divBdr>
                                <w:top w:val="none" w:sz="0" w:space="0" w:color="auto"/>
                                <w:left w:val="none" w:sz="0" w:space="0" w:color="auto"/>
                                <w:bottom w:val="none" w:sz="0" w:space="0" w:color="auto"/>
                                <w:right w:val="none" w:sz="0" w:space="0" w:color="auto"/>
                              </w:divBdr>
                            </w:div>
                            <w:div w:id="70294410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70356418">
                  <w:marLeft w:val="0"/>
                  <w:marRight w:val="0"/>
                  <w:marTop w:val="0"/>
                  <w:marBottom w:val="0"/>
                  <w:divBdr>
                    <w:top w:val="none" w:sz="0" w:space="0" w:color="auto"/>
                    <w:left w:val="none" w:sz="0" w:space="0" w:color="auto"/>
                    <w:bottom w:val="none" w:sz="0" w:space="0" w:color="auto"/>
                    <w:right w:val="none" w:sz="0" w:space="0" w:color="auto"/>
                  </w:divBdr>
                  <w:divsChild>
                    <w:div w:id="479541056">
                      <w:marLeft w:val="0"/>
                      <w:marRight w:val="0"/>
                      <w:marTop w:val="0"/>
                      <w:marBottom w:val="450"/>
                      <w:divBdr>
                        <w:top w:val="none" w:sz="0" w:space="0" w:color="auto"/>
                        <w:left w:val="none" w:sz="0" w:space="0" w:color="auto"/>
                        <w:bottom w:val="none" w:sz="0" w:space="0" w:color="auto"/>
                        <w:right w:val="none" w:sz="0" w:space="0" w:color="auto"/>
                      </w:divBdr>
                      <w:divsChild>
                        <w:div w:id="1401250770">
                          <w:marLeft w:val="0"/>
                          <w:marRight w:val="0"/>
                          <w:marTop w:val="0"/>
                          <w:marBottom w:val="0"/>
                          <w:divBdr>
                            <w:top w:val="none" w:sz="0" w:space="0" w:color="auto"/>
                            <w:left w:val="none" w:sz="0" w:space="0" w:color="auto"/>
                            <w:bottom w:val="none" w:sz="0" w:space="0" w:color="auto"/>
                            <w:right w:val="none" w:sz="0" w:space="0" w:color="auto"/>
                          </w:divBdr>
                          <w:divsChild>
                            <w:div w:id="760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2730">
                  <w:marLeft w:val="0"/>
                  <w:marRight w:val="0"/>
                  <w:marTop w:val="0"/>
                  <w:marBottom w:val="0"/>
                  <w:divBdr>
                    <w:top w:val="none" w:sz="0" w:space="0" w:color="auto"/>
                    <w:left w:val="none" w:sz="0" w:space="0" w:color="auto"/>
                    <w:bottom w:val="none" w:sz="0" w:space="0" w:color="auto"/>
                    <w:right w:val="none" w:sz="0" w:space="0" w:color="auto"/>
                  </w:divBdr>
                  <w:divsChild>
                    <w:div w:id="1734502475">
                      <w:marLeft w:val="0"/>
                      <w:marRight w:val="0"/>
                      <w:marTop w:val="0"/>
                      <w:marBottom w:val="450"/>
                      <w:divBdr>
                        <w:top w:val="none" w:sz="0" w:space="0" w:color="auto"/>
                        <w:left w:val="none" w:sz="0" w:space="0" w:color="auto"/>
                        <w:bottom w:val="none" w:sz="0" w:space="0" w:color="auto"/>
                        <w:right w:val="none" w:sz="0" w:space="0" w:color="auto"/>
                      </w:divBdr>
                      <w:divsChild>
                        <w:div w:id="1117212930">
                          <w:marLeft w:val="0"/>
                          <w:marRight w:val="0"/>
                          <w:marTop w:val="0"/>
                          <w:marBottom w:val="0"/>
                          <w:divBdr>
                            <w:top w:val="none" w:sz="0" w:space="0" w:color="auto"/>
                            <w:left w:val="none" w:sz="0" w:space="0" w:color="auto"/>
                            <w:bottom w:val="none" w:sz="0" w:space="0" w:color="auto"/>
                            <w:right w:val="none" w:sz="0" w:space="0" w:color="auto"/>
                          </w:divBdr>
                          <w:divsChild>
                            <w:div w:id="242104605">
                              <w:marLeft w:val="0"/>
                              <w:marRight w:val="60"/>
                              <w:marTop w:val="0"/>
                              <w:marBottom w:val="0"/>
                              <w:divBdr>
                                <w:top w:val="none" w:sz="0" w:space="0" w:color="auto"/>
                                <w:left w:val="none" w:sz="0" w:space="0" w:color="auto"/>
                                <w:bottom w:val="none" w:sz="0" w:space="0" w:color="auto"/>
                                <w:right w:val="none" w:sz="0" w:space="0" w:color="auto"/>
                              </w:divBdr>
                            </w:div>
                            <w:div w:id="37777720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84775641">
                  <w:marLeft w:val="30"/>
                  <w:marRight w:val="0"/>
                  <w:marTop w:val="30"/>
                  <w:marBottom w:val="0"/>
                  <w:divBdr>
                    <w:top w:val="none" w:sz="0" w:space="0" w:color="auto"/>
                    <w:left w:val="none" w:sz="0" w:space="0" w:color="auto"/>
                    <w:bottom w:val="none" w:sz="0" w:space="0" w:color="auto"/>
                    <w:right w:val="none" w:sz="0" w:space="0" w:color="auto"/>
                  </w:divBdr>
                  <w:divsChild>
                    <w:div w:id="1137799398">
                      <w:marLeft w:val="0"/>
                      <w:marRight w:val="0"/>
                      <w:marTop w:val="0"/>
                      <w:marBottom w:val="450"/>
                      <w:divBdr>
                        <w:top w:val="none" w:sz="0" w:space="0" w:color="auto"/>
                        <w:left w:val="none" w:sz="0" w:space="0" w:color="auto"/>
                        <w:bottom w:val="none" w:sz="0" w:space="0" w:color="auto"/>
                        <w:right w:val="none" w:sz="0" w:space="0" w:color="auto"/>
                      </w:divBdr>
                      <w:divsChild>
                        <w:div w:id="1740832946">
                          <w:marLeft w:val="0"/>
                          <w:marRight w:val="0"/>
                          <w:marTop w:val="0"/>
                          <w:marBottom w:val="0"/>
                          <w:divBdr>
                            <w:top w:val="none" w:sz="0" w:space="0" w:color="auto"/>
                            <w:left w:val="none" w:sz="0" w:space="0" w:color="auto"/>
                            <w:bottom w:val="none" w:sz="0" w:space="0" w:color="auto"/>
                            <w:right w:val="none" w:sz="0" w:space="0" w:color="auto"/>
                          </w:divBdr>
                          <w:divsChild>
                            <w:div w:id="16258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975022">
          <w:marLeft w:val="0"/>
          <w:marRight w:val="0"/>
          <w:marTop w:val="0"/>
          <w:marBottom w:val="0"/>
          <w:divBdr>
            <w:top w:val="none" w:sz="0" w:space="0" w:color="auto"/>
            <w:left w:val="none" w:sz="0" w:space="0" w:color="auto"/>
            <w:bottom w:val="none" w:sz="0" w:space="0" w:color="auto"/>
            <w:right w:val="none" w:sz="0" w:space="0" w:color="auto"/>
          </w:divBdr>
        </w:div>
        <w:div w:id="35664393">
          <w:marLeft w:val="0"/>
          <w:marRight w:val="0"/>
          <w:marTop w:val="0"/>
          <w:marBottom w:val="0"/>
          <w:divBdr>
            <w:top w:val="none" w:sz="0" w:space="0" w:color="auto"/>
            <w:left w:val="none" w:sz="0" w:space="0" w:color="auto"/>
            <w:bottom w:val="none" w:sz="0" w:space="0" w:color="auto"/>
            <w:right w:val="none" w:sz="0" w:space="0" w:color="auto"/>
          </w:divBdr>
        </w:div>
      </w:divsChild>
    </w:div>
    <w:div w:id="370888418">
      <w:bodyDiv w:val="1"/>
      <w:marLeft w:val="0"/>
      <w:marRight w:val="0"/>
      <w:marTop w:val="0"/>
      <w:marBottom w:val="0"/>
      <w:divBdr>
        <w:top w:val="none" w:sz="0" w:space="0" w:color="auto"/>
        <w:left w:val="none" w:sz="0" w:space="0" w:color="auto"/>
        <w:bottom w:val="none" w:sz="0" w:space="0" w:color="auto"/>
        <w:right w:val="none" w:sz="0" w:space="0" w:color="auto"/>
      </w:divBdr>
    </w:div>
    <w:div w:id="461727041">
      <w:bodyDiv w:val="1"/>
      <w:marLeft w:val="0"/>
      <w:marRight w:val="0"/>
      <w:marTop w:val="0"/>
      <w:marBottom w:val="0"/>
      <w:divBdr>
        <w:top w:val="none" w:sz="0" w:space="0" w:color="auto"/>
        <w:left w:val="none" w:sz="0" w:space="0" w:color="auto"/>
        <w:bottom w:val="none" w:sz="0" w:space="0" w:color="auto"/>
        <w:right w:val="none" w:sz="0" w:space="0" w:color="auto"/>
      </w:divBdr>
    </w:div>
    <w:div w:id="469179115">
      <w:bodyDiv w:val="1"/>
      <w:marLeft w:val="0"/>
      <w:marRight w:val="0"/>
      <w:marTop w:val="0"/>
      <w:marBottom w:val="0"/>
      <w:divBdr>
        <w:top w:val="none" w:sz="0" w:space="0" w:color="auto"/>
        <w:left w:val="none" w:sz="0" w:space="0" w:color="auto"/>
        <w:bottom w:val="none" w:sz="0" w:space="0" w:color="auto"/>
        <w:right w:val="none" w:sz="0" w:space="0" w:color="auto"/>
      </w:divBdr>
    </w:div>
    <w:div w:id="478228692">
      <w:bodyDiv w:val="1"/>
      <w:marLeft w:val="0"/>
      <w:marRight w:val="0"/>
      <w:marTop w:val="0"/>
      <w:marBottom w:val="0"/>
      <w:divBdr>
        <w:top w:val="none" w:sz="0" w:space="0" w:color="auto"/>
        <w:left w:val="none" w:sz="0" w:space="0" w:color="auto"/>
        <w:bottom w:val="none" w:sz="0" w:space="0" w:color="auto"/>
        <w:right w:val="none" w:sz="0" w:space="0" w:color="auto"/>
      </w:divBdr>
    </w:div>
    <w:div w:id="507602617">
      <w:bodyDiv w:val="1"/>
      <w:marLeft w:val="0"/>
      <w:marRight w:val="0"/>
      <w:marTop w:val="0"/>
      <w:marBottom w:val="0"/>
      <w:divBdr>
        <w:top w:val="none" w:sz="0" w:space="0" w:color="auto"/>
        <w:left w:val="none" w:sz="0" w:space="0" w:color="auto"/>
        <w:bottom w:val="none" w:sz="0" w:space="0" w:color="auto"/>
        <w:right w:val="none" w:sz="0" w:space="0" w:color="auto"/>
      </w:divBdr>
    </w:div>
    <w:div w:id="587689540">
      <w:bodyDiv w:val="1"/>
      <w:marLeft w:val="0"/>
      <w:marRight w:val="0"/>
      <w:marTop w:val="0"/>
      <w:marBottom w:val="0"/>
      <w:divBdr>
        <w:top w:val="none" w:sz="0" w:space="0" w:color="auto"/>
        <w:left w:val="none" w:sz="0" w:space="0" w:color="auto"/>
        <w:bottom w:val="none" w:sz="0" w:space="0" w:color="auto"/>
        <w:right w:val="none" w:sz="0" w:space="0" w:color="auto"/>
      </w:divBdr>
    </w:div>
    <w:div w:id="671686348">
      <w:bodyDiv w:val="1"/>
      <w:marLeft w:val="0"/>
      <w:marRight w:val="0"/>
      <w:marTop w:val="0"/>
      <w:marBottom w:val="0"/>
      <w:divBdr>
        <w:top w:val="none" w:sz="0" w:space="0" w:color="auto"/>
        <w:left w:val="none" w:sz="0" w:space="0" w:color="auto"/>
        <w:bottom w:val="none" w:sz="0" w:space="0" w:color="auto"/>
        <w:right w:val="none" w:sz="0" w:space="0" w:color="auto"/>
      </w:divBdr>
    </w:div>
    <w:div w:id="722026630">
      <w:bodyDiv w:val="1"/>
      <w:marLeft w:val="0"/>
      <w:marRight w:val="0"/>
      <w:marTop w:val="0"/>
      <w:marBottom w:val="0"/>
      <w:divBdr>
        <w:top w:val="none" w:sz="0" w:space="0" w:color="auto"/>
        <w:left w:val="none" w:sz="0" w:space="0" w:color="auto"/>
        <w:bottom w:val="none" w:sz="0" w:space="0" w:color="auto"/>
        <w:right w:val="none" w:sz="0" w:space="0" w:color="auto"/>
      </w:divBdr>
    </w:div>
    <w:div w:id="722679147">
      <w:bodyDiv w:val="1"/>
      <w:marLeft w:val="0"/>
      <w:marRight w:val="0"/>
      <w:marTop w:val="0"/>
      <w:marBottom w:val="0"/>
      <w:divBdr>
        <w:top w:val="none" w:sz="0" w:space="0" w:color="auto"/>
        <w:left w:val="none" w:sz="0" w:space="0" w:color="auto"/>
        <w:bottom w:val="none" w:sz="0" w:space="0" w:color="auto"/>
        <w:right w:val="none" w:sz="0" w:space="0" w:color="auto"/>
      </w:divBdr>
    </w:div>
    <w:div w:id="777405048">
      <w:bodyDiv w:val="1"/>
      <w:marLeft w:val="0"/>
      <w:marRight w:val="0"/>
      <w:marTop w:val="0"/>
      <w:marBottom w:val="0"/>
      <w:divBdr>
        <w:top w:val="none" w:sz="0" w:space="0" w:color="auto"/>
        <w:left w:val="none" w:sz="0" w:space="0" w:color="auto"/>
        <w:bottom w:val="none" w:sz="0" w:space="0" w:color="auto"/>
        <w:right w:val="none" w:sz="0" w:space="0" w:color="auto"/>
      </w:divBdr>
    </w:div>
    <w:div w:id="1078597600">
      <w:bodyDiv w:val="1"/>
      <w:marLeft w:val="0"/>
      <w:marRight w:val="0"/>
      <w:marTop w:val="0"/>
      <w:marBottom w:val="0"/>
      <w:divBdr>
        <w:top w:val="none" w:sz="0" w:space="0" w:color="auto"/>
        <w:left w:val="none" w:sz="0" w:space="0" w:color="auto"/>
        <w:bottom w:val="none" w:sz="0" w:space="0" w:color="auto"/>
        <w:right w:val="none" w:sz="0" w:space="0" w:color="auto"/>
      </w:divBdr>
    </w:div>
    <w:div w:id="1103769831">
      <w:bodyDiv w:val="1"/>
      <w:marLeft w:val="0"/>
      <w:marRight w:val="0"/>
      <w:marTop w:val="0"/>
      <w:marBottom w:val="0"/>
      <w:divBdr>
        <w:top w:val="none" w:sz="0" w:space="0" w:color="auto"/>
        <w:left w:val="none" w:sz="0" w:space="0" w:color="auto"/>
        <w:bottom w:val="none" w:sz="0" w:space="0" w:color="auto"/>
        <w:right w:val="none" w:sz="0" w:space="0" w:color="auto"/>
      </w:divBdr>
    </w:div>
    <w:div w:id="1277979547">
      <w:bodyDiv w:val="1"/>
      <w:marLeft w:val="0"/>
      <w:marRight w:val="0"/>
      <w:marTop w:val="0"/>
      <w:marBottom w:val="0"/>
      <w:divBdr>
        <w:top w:val="none" w:sz="0" w:space="0" w:color="auto"/>
        <w:left w:val="none" w:sz="0" w:space="0" w:color="auto"/>
        <w:bottom w:val="none" w:sz="0" w:space="0" w:color="auto"/>
        <w:right w:val="none" w:sz="0" w:space="0" w:color="auto"/>
      </w:divBdr>
    </w:div>
    <w:div w:id="1280145650">
      <w:bodyDiv w:val="1"/>
      <w:marLeft w:val="0"/>
      <w:marRight w:val="0"/>
      <w:marTop w:val="0"/>
      <w:marBottom w:val="0"/>
      <w:divBdr>
        <w:top w:val="none" w:sz="0" w:space="0" w:color="auto"/>
        <w:left w:val="none" w:sz="0" w:space="0" w:color="auto"/>
        <w:bottom w:val="none" w:sz="0" w:space="0" w:color="auto"/>
        <w:right w:val="none" w:sz="0" w:space="0" w:color="auto"/>
      </w:divBdr>
    </w:div>
    <w:div w:id="1294555674">
      <w:bodyDiv w:val="1"/>
      <w:marLeft w:val="0"/>
      <w:marRight w:val="0"/>
      <w:marTop w:val="0"/>
      <w:marBottom w:val="0"/>
      <w:divBdr>
        <w:top w:val="none" w:sz="0" w:space="0" w:color="auto"/>
        <w:left w:val="none" w:sz="0" w:space="0" w:color="auto"/>
        <w:bottom w:val="none" w:sz="0" w:space="0" w:color="auto"/>
        <w:right w:val="none" w:sz="0" w:space="0" w:color="auto"/>
      </w:divBdr>
    </w:div>
    <w:div w:id="1304233270">
      <w:bodyDiv w:val="1"/>
      <w:marLeft w:val="0"/>
      <w:marRight w:val="0"/>
      <w:marTop w:val="0"/>
      <w:marBottom w:val="0"/>
      <w:divBdr>
        <w:top w:val="none" w:sz="0" w:space="0" w:color="auto"/>
        <w:left w:val="none" w:sz="0" w:space="0" w:color="auto"/>
        <w:bottom w:val="none" w:sz="0" w:space="0" w:color="auto"/>
        <w:right w:val="none" w:sz="0" w:space="0" w:color="auto"/>
      </w:divBdr>
    </w:div>
    <w:div w:id="1418013961">
      <w:bodyDiv w:val="1"/>
      <w:marLeft w:val="0"/>
      <w:marRight w:val="0"/>
      <w:marTop w:val="0"/>
      <w:marBottom w:val="0"/>
      <w:divBdr>
        <w:top w:val="none" w:sz="0" w:space="0" w:color="auto"/>
        <w:left w:val="none" w:sz="0" w:space="0" w:color="auto"/>
        <w:bottom w:val="none" w:sz="0" w:space="0" w:color="auto"/>
        <w:right w:val="none" w:sz="0" w:space="0" w:color="auto"/>
      </w:divBdr>
    </w:div>
    <w:div w:id="1427001697">
      <w:bodyDiv w:val="1"/>
      <w:marLeft w:val="0"/>
      <w:marRight w:val="0"/>
      <w:marTop w:val="0"/>
      <w:marBottom w:val="0"/>
      <w:divBdr>
        <w:top w:val="none" w:sz="0" w:space="0" w:color="auto"/>
        <w:left w:val="none" w:sz="0" w:space="0" w:color="auto"/>
        <w:bottom w:val="none" w:sz="0" w:space="0" w:color="auto"/>
        <w:right w:val="none" w:sz="0" w:space="0" w:color="auto"/>
      </w:divBdr>
    </w:div>
    <w:div w:id="1510177777">
      <w:bodyDiv w:val="1"/>
      <w:marLeft w:val="0"/>
      <w:marRight w:val="0"/>
      <w:marTop w:val="0"/>
      <w:marBottom w:val="0"/>
      <w:divBdr>
        <w:top w:val="none" w:sz="0" w:space="0" w:color="auto"/>
        <w:left w:val="none" w:sz="0" w:space="0" w:color="auto"/>
        <w:bottom w:val="none" w:sz="0" w:space="0" w:color="auto"/>
        <w:right w:val="none" w:sz="0" w:space="0" w:color="auto"/>
      </w:divBdr>
    </w:div>
    <w:div w:id="1535919398">
      <w:bodyDiv w:val="1"/>
      <w:marLeft w:val="0"/>
      <w:marRight w:val="0"/>
      <w:marTop w:val="0"/>
      <w:marBottom w:val="0"/>
      <w:divBdr>
        <w:top w:val="none" w:sz="0" w:space="0" w:color="auto"/>
        <w:left w:val="none" w:sz="0" w:space="0" w:color="auto"/>
        <w:bottom w:val="none" w:sz="0" w:space="0" w:color="auto"/>
        <w:right w:val="none" w:sz="0" w:space="0" w:color="auto"/>
      </w:divBdr>
    </w:div>
    <w:div w:id="1559702954">
      <w:bodyDiv w:val="1"/>
      <w:marLeft w:val="0"/>
      <w:marRight w:val="0"/>
      <w:marTop w:val="0"/>
      <w:marBottom w:val="0"/>
      <w:divBdr>
        <w:top w:val="none" w:sz="0" w:space="0" w:color="auto"/>
        <w:left w:val="none" w:sz="0" w:space="0" w:color="auto"/>
        <w:bottom w:val="none" w:sz="0" w:space="0" w:color="auto"/>
        <w:right w:val="none" w:sz="0" w:space="0" w:color="auto"/>
      </w:divBdr>
    </w:div>
    <w:div w:id="1644651529">
      <w:bodyDiv w:val="1"/>
      <w:marLeft w:val="0"/>
      <w:marRight w:val="0"/>
      <w:marTop w:val="0"/>
      <w:marBottom w:val="0"/>
      <w:divBdr>
        <w:top w:val="none" w:sz="0" w:space="0" w:color="auto"/>
        <w:left w:val="none" w:sz="0" w:space="0" w:color="auto"/>
        <w:bottom w:val="none" w:sz="0" w:space="0" w:color="auto"/>
        <w:right w:val="none" w:sz="0" w:space="0" w:color="auto"/>
      </w:divBdr>
    </w:div>
    <w:div w:id="1724139661">
      <w:bodyDiv w:val="1"/>
      <w:marLeft w:val="0"/>
      <w:marRight w:val="0"/>
      <w:marTop w:val="0"/>
      <w:marBottom w:val="0"/>
      <w:divBdr>
        <w:top w:val="none" w:sz="0" w:space="0" w:color="auto"/>
        <w:left w:val="none" w:sz="0" w:space="0" w:color="auto"/>
        <w:bottom w:val="none" w:sz="0" w:space="0" w:color="auto"/>
        <w:right w:val="none" w:sz="0" w:space="0" w:color="auto"/>
      </w:divBdr>
    </w:div>
    <w:div w:id="1726680809">
      <w:bodyDiv w:val="1"/>
      <w:marLeft w:val="0"/>
      <w:marRight w:val="0"/>
      <w:marTop w:val="0"/>
      <w:marBottom w:val="0"/>
      <w:divBdr>
        <w:top w:val="none" w:sz="0" w:space="0" w:color="auto"/>
        <w:left w:val="none" w:sz="0" w:space="0" w:color="auto"/>
        <w:bottom w:val="none" w:sz="0" w:space="0" w:color="auto"/>
        <w:right w:val="none" w:sz="0" w:space="0" w:color="auto"/>
      </w:divBdr>
    </w:div>
    <w:div w:id="1924683573">
      <w:bodyDiv w:val="1"/>
      <w:marLeft w:val="0"/>
      <w:marRight w:val="0"/>
      <w:marTop w:val="0"/>
      <w:marBottom w:val="0"/>
      <w:divBdr>
        <w:top w:val="none" w:sz="0" w:space="0" w:color="auto"/>
        <w:left w:val="none" w:sz="0" w:space="0" w:color="auto"/>
        <w:bottom w:val="none" w:sz="0" w:space="0" w:color="auto"/>
        <w:right w:val="none" w:sz="0" w:space="0" w:color="auto"/>
      </w:divBdr>
    </w:div>
    <w:div w:id="1944873973">
      <w:bodyDiv w:val="1"/>
      <w:marLeft w:val="0"/>
      <w:marRight w:val="0"/>
      <w:marTop w:val="0"/>
      <w:marBottom w:val="0"/>
      <w:divBdr>
        <w:top w:val="none" w:sz="0" w:space="0" w:color="auto"/>
        <w:left w:val="none" w:sz="0" w:space="0" w:color="auto"/>
        <w:bottom w:val="none" w:sz="0" w:space="0" w:color="auto"/>
        <w:right w:val="none" w:sz="0" w:space="0" w:color="auto"/>
      </w:divBdr>
    </w:div>
    <w:div w:id="2022704055">
      <w:bodyDiv w:val="1"/>
      <w:marLeft w:val="0"/>
      <w:marRight w:val="0"/>
      <w:marTop w:val="0"/>
      <w:marBottom w:val="0"/>
      <w:divBdr>
        <w:top w:val="none" w:sz="0" w:space="0" w:color="auto"/>
        <w:left w:val="none" w:sz="0" w:space="0" w:color="auto"/>
        <w:bottom w:val="none" w:sz="0" w:space="0" w:color="auto"/>
        <w:right w:val="none" w:sz="0" w:space="0" w:color="auto"/>
      </w:divBdr>
    </w:div>
    <w:div w:id="207823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quitline.org/?page=P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quitline.org/?page=PPP" TargetMode="Externa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www.businesscaseroi.org" TargetMode="External"/><Relationship Id="rId1" Type="http://schemas.openxmlformats.org/officeDocument/2006/relationships/hyperlink" Target="http://no-smoke.org/document.php?ID=20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4F86E808-C40D-4308-AB64-63422D007358}"/>
      </w:docPartPr>
      <w:docPartBody>
        <w:p w:rsidR="00445BB4" w:rsidRDefault="004C124A">
          <w:r w:rsidRPr="009403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C124A"/>
    <w:rsid w:val="003940FF"/>
    <w:rsid w:val="00445BB4"/>
    <w:rsid w:val="004C124A"/>
    <w:rsid w:val="005A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2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D2DC-A802-431C-AE06-81E7D0FD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Kaitlin Box</cp:lastModifiedBy>
  <cp:revision>2</cp:revision>
  <cp:lastPrinted>2013-07-30T22:16:00Z</cp:lastPrinted>
  <dcterms:created xsi:type="dcterms:W3CDTF">2016-11-30T16:26:00Z</dcterms:created>
  <dcterms:modified xsi:type="dcterms:W3CDTF">2016-11-30T16:26:00Z</dcterms:modified>
</cp:coreProperties>
</file>